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410E26" w14:textId="3041731A" w:rsidR="00C003B3" w:rsidRDefault="00C003B3" w:rsidP="00C003B3">
      <w:pPr>
        <w:pStyle w:val="NormalWeb"/>
        <w:spacing w:before="480" w:beforeAutospacing="0" w:after="120" w:afterAutospacing="0"/>
        <w:jc w:val="center"/>
      </w:pPr>
      <w:bookmarkStart w:id="0" w:name="_GoBack"/>
      <w:r>
        <w:rPr>
          <w:b/>
          <w:bCs/>
          <w:color w:val="000000"/>
        </w:rPr>
        <w:t>MODELO DE PORTARIA DE INSTITUIÇÃO DO PGD NA UNIDADE</w:t>
      </w:r>
    </w:p>
    <w:bookmarkEnd w:id="0"/>
    <w:p w14:paraId="48C8B4D3" w14:textId="77777777" w:rsidR="00C003B3" w:rsidRDefault="00C003B3" w:rsidP="00C003B3">
      <w:pPr>
        <w:pStyle w:val="Ttulo1"/>
        <w:jc w:val="center"/>
      </w:pPr>
      <w:r>
        <w:rPr>
          <w:color w:val="000000"/>
          <w:sz w:val="24"/>
          <w:szCs w:val="24"/>
        </w:rPr>
        <w:t>PORTARIA PARA INSTITUIÇÃO DO PROGRAMA DE GESTÃO E DESEMPENHO - PGD</w:t>
      </w:r>
    </w:p>
    <w:p w14:paraId="56CDE781" w14:textId="77777777" w:rsidR="00C003B3" w:rsidRDefault="00C003B3" w:rsidP="00C003B3"/>
    <w:p w14:paraId="34372C6F" w14:textId="77777777" w:rsidR="00C003B3" w:rsidRDefault="00C003B3" w:rsidP="00C003B3">
      <w:pPr>
        <w:pStyle w:val="NormalWeb"/>
        <w:spacing w:before="0" w:beforeAutospacing="0" w:after="0" w:afterAutospacing="0"/>
        <w:ind w:left="4248"/>
        <w:jc w:val="both"/>
      </w:pPr>
      <w:r>
        <w:rPr>
          <w:color w:val="000000"/>
        </w:rPr>
        <w:t xml:space="preserve">Institui o Programa de Gestão e Desempenho (PGD) no âmbito </w:t>
      </w:r>
      <w:r>
        <w:rPr>
          <w:color w:val="FF0000"/>
        </w:rPr>
        <w:t>[unidade da administração de nível não inferior ao de Secretaria ou equivalente]</w:t>
      </w:r>
      <w:r>
        <w:rPr>
          <w:i/>
          <w:iCs/>
          <w:color w:val="FF0000"/>
        </w:rPr>
        <w:t xml:space="preserve"> </w:t>
      </w:r>
      <w:r>
        <w:rPr>
          <w:color w:val="000000"/>
        </w:rPr>
        <w:t>da Universidade Federal do Oeste da Bahia. </w:t>
      </w:r>
    </w:p>
    <w:p w14:paraId="43B07FBB" w14:textId="77777777" w:rsidR="00C003B3" w:rsidRDefault="00C003B3" w:rsidP="00C003B3"/>
    <w:p w14:paraId="652107DE" w14:textId="77777777" w:rsidR="00C003B3" w:rsidRDefault="00C003B3" w:rsidP="00C003B3">
      <w:pPr>
        <w:pStyle w:val="NormalWeb"/>
        <w:spacing w:before="0" w:beforeAutospacing="0" w:after="0" w:afterAutospacing="0"/>
        <w:jc w:val="both"/>
      </w:pPr>
      <w:r>
        <w:rPr>
          <w:i/>
          <w:iCs/>
          <w:color w:val="FF0000"/>
        </w:rPr>
        <w:t>[A autoridade máxima da unidade da administração de nível não inferior ao de Secretaria ou equivalente]</w:t>
      </w:r>
      <w:r>
        <w:rPr>
          <w:color w:val="000000"/>
        </w:rPr>
        <w:t xml:space="preserve">, no uso das atribuições que lhe conferem </w:t>
      </w:r>
      <w:r>
        <w:rPr>
          <w:i/>
          <w:iCs/>
          <w:color w:val="FF0000"/>
        </w:rPr>
        <w:t>[o dispositivo do ato de autorização do dirigente máximo do órgão ou entidade]</w:t>
      </w:r>
      <w:r>
        <w:rPr>
          <w:color w:val="000000"/>
        </w:rPr>
        <w:t>, tendo em vista o art. 4º do Decreto n</w:t>
      </w:r>
      <w:r>
        <w:rPr>
          <w:color w:val="000000"/>
          <w:sz w:val="14"/>
          <w:szCs w:val="14"/>
          <w:vertAlign w:val="superscript"/>
        </w:rPr>
        <w:t>o</w:t>
      </w:r>
      <w:r>
        <w:rPr>
          <w:color w:val="000000"/>
        </w:rPr>
        <w:t xml:space="preserve"> 11.072, de 17 de maio de 2022, o art. 6º da Instrução Normativa Conjunta SEGES-SGPRT /MGI nº 24, de 28 de julho de 2023 e atualizações contidas na </w:t>
      </w:r>
      <w:r>
        <w:rPr>
          <w:b/>
          <w:bCs/>
          <w:color w:val="000000"/>
        </w:rPr>
        <w:t>Instrução Normativa nº 21/2024.</w:t>
      </w:r>
    </w:p>
    <w:p w14:paraId="3F37AECF" w14:textId="77777777" w:rsidR="00C003B3" w:rsidRDefault="00C003B3" w:rsidP="00C003B3"/>
    <w:p w14:paraId="563A08E6" w14:textId="77777777" w:rsidR="00C003B3" w:rsidRDefault="00C003B3" w:rsidP="00C003B3">
      <w:pPr>
        <w:pStyle w:val="NormalWeb"/>
        <w:spacing w:before="0" w:beforeAutospacing="0" w:after="0" w:afterAutospacing="0"/>
        <w:jc w:val="both"/>
      </w:pPr>
      <w:r>
        <w:rPr>
          <w:color w:val="000000"/>
        </w:rPr>
        <w:t>Resolve:</w:t>
      </w:r>
    </w:p>
    <w:p w14:paraId="0B744742" w14:textId="77777777" w:rsidR="00C003B3" w:rsidRDefault="00C003B3" w:rsidP="00C003B3"/>
    <w:p w14:paraId="06DE7171" w14:textId="77777777" w:rsidR="00C003B3" w:rsidRDefault="00C003B3" w:rsidP="00C003B3">
      <w:pPr>
        <w:pStyle w:val="NormalWeb"/>
        <w:spacing w:before="0" w:beforeAutospacing="0" w:after="0" w:afterAutospacing="0"/>
        <w:jc w:val="both"/>
      </w:pPr>
      <w:r>
        <w:rPr>
          <w:b/>
          <w:bCs/>
          <w:color w:val="000000"/>
        </w:rPr>
        <w:t>Objeto e âmbito de aplicação</w:t>
      </w:r>
    </w:p>
    <w:p w14:paraId="1EB2B3F3" w14:textId="77777777" w:rsidR="00C003B3" w:rsidRDefault="00C003B3" w:rsidP="00C003B3">
      <w:pPr>
        <w:pStyle w:val="NormalWeb"/>
        <w:spacing w:before="0" w:beforeAutospacing="0" w:after="0" w:afterAutospacing="0"/>
        <w:jc w:val="both"/>
      </w:pPr>
      <w:r>
        <w:rPr>
          <w:color w:val="000000"/>
        </w:rPr>
        <w:t xml:space="preserve">Art. 1º Instituir, no âmbito </w:t>
      </w:r>
      <w:r>
        <w:rPr>
          <w:i/>
          <w:iCs/>
          <w:color w:val="FF0000"/>
        </w:rPr>
        <w:t>[unidade da administração de nível não inferior ao de Secretaria ou equivalente]</w:t>
      </w:r>
      <w:r>
        <w:rPr>
          <w:color w:val="000000"/>
        </w:rPr>
        <w:t xml:space="preserve"> da Universidade Federal do Oeste da Bahia, o Programa de Gestão e Desempenho, nos termos das normativas vigentes.</w:t>
      </w:r>
    </w:p>
    <w:p w14:paraId="48AE3816" w14:textId="77777777" w:rsidR="00C003B3" w:rsidRDefault="00C003B3" w:rsidP="00C003B3"/>
    <w:p w14:paraId="5EAA706B" w14:textId="77777777" w:rsidR="00C003B3" w:rsidRDefault="00C003B3" w:rsidP="00C003B3">
      <w:pPr>
        <w:pStyle w:val="NormalWeb"/>
        <w:spacing w:before="0" w:beforeAutospacing="0" w:after="0" w:afterAutospacing="0"/>
        <w:jc w:val="both"/>
      </w:pPr>
      <w:r>
        <w:rPr>
          <w:b/>
          <w:bCs/>
          <w:color w:val="000000"/>
        </w:rPr>
        <w:t>Tipos de atividades que poderão ser incluídas no PGD</w:t>
      </w:r>
    </w:p>
    <w:p w14:paraId="4BA79D33" w14:textId="77777777" w:rsidR="00C003B3" w:rsidRDefault="00C003B3" w:rsidP="00C003B3">
      <w:pPr>
        <w:pStyle w:val="NormalWeb"/>
        <w:spacing w:before="0" w:beforeAutospacing="0" w:after="0" w:afterAutospacing="0"/>
        <w:jc w:val="both"/>
      </w:pPr>
      <w:r>
        <w:rPr>
          <w:color w:val="000000"/>
        </w:rPr>
        <w:t>Art. 2º Qualquer tipo de atividade poderá ser realizado no âmbito do PGD, exceto aqueles que impossibilitem a mensuração da efetividade e da qualidade da entrega.</w:t>
      </w:r>
    </w:p>
    <w:p w14:paraId="78468FAE" w14:textId="77777777" w:rsidR="00C003B3" w:rsidRDefault="00C003B3" w:rsidP="00C003B3">
      <w:pPr>
        <w:pStyle w:val="NormalWeb"/>
        <w:spacing w:before="0" w:beforeAutospacing="0" w:after="0" w:afterAutospacing="0"/>
        <w:jc w:val="both"/>
      </w:pPr>
      <w:r>
        <w:rPr>
          <w:i/>
          <w:iCs/>
          <w:color w:val="FF0000"/>
        </w:rPr>
        <w:t>[É facultado que o art. 2º preveja exceções a tipos específicos de atividade. Neste caso, a Nota Técnica que acompanhar a presente minuta deve apresentar os critérios definidos pelo órgão/entidade e as suas respectivas motivações.]</w:t>
      </w:r>
    </w:p>
    <w:p w14:paraId="46030477" w14:textId="77777777" w:rsidR="00C003B3" w:rsidRDefault="00C003B3" w:rsidP="00C003B3"/>
    <w:p w14:paraId="7CCF259D" w14:textId="77777777" w:rsidR="00C003B3" w:rsidRDefault="00C003B3" w:rsidP="00C003B3">
      <w:pPr>
        <w:pStyle w:val="NormalWeb"/>
        <w:spacing w:before="0" w:beforeAutospacing="0" w:after="0" w:afterAutospacing="0"/>
        <w:jc w:val="both"/>
      </w:pPr>
      <w:r>
        <w:rPr>
          <w:b/>
          <w:bCs/>
          <w:color w:val="000000"/>
        </w:rPr>
        <w:t>Modalidades e regimes de execução</w:t>
      </w:r>
    </w:p>
    <w:p w14:paraId="31E2F6D1" w14:textId="77777777" w:rsidR="00C003B3" w:rsidRDefault="00C003B3" w:rsidP="00C003B3">
      <w:pPr>
        <w:pStyle w:val="NormalWeb"/>
        <w:spacing w:before="0" w:beforeAutospacing="0" w:after="0" w:afterAutospacing="0"/>
        <w:jc w:val="both"/>
      </w:pPr>
      <w:r>
        <w:rPr>
          <w:color w:val="000000"/>
        </w:rPr>
        <w:t>Art. 3º Admite-se as seguintes modalidades na execução do PGD:</w:t>
      </w:r>
    </w:p>
    <w:p w14:paraId="6B237049" w14:textId="77777777" w:rsidR="00C003B3" w:rsidRDefault="00C003B3" w:rsidP="00C003B3">
      <w:pPr>
        <w:pStyle w:val="NormalWeb"/>
        <w:spacing w:before="0" w:beforeAutospacing="0" w:after="0" w:afterAutospacing="0"/>
        <w:jc w:val="both"/>
      </w:pPr>
      <w:r>
        <w:rPr>
          <w:color w:val="000000"/>
        </w:rPr>
        <w:t>I – presencial; e</w:t>
      </w:r>
    </w:p>
    <w:p w14:paraId="4997A1D8" w14:textId="77777777" w:rsidR="00C003B3" w:rsidRDefault="00C003B3" w:rsidP="00C003B3">
      <w:pPr>
        <w:pStyle w:val="NormalWeb"/>
        <w:spacing w:before="0" w:beforeAutospacing="0" w:after="0" w:afterAutospacing="0"/>
        <w:jc w:val="both"/>
      </w:pPr>
      <w:r>
        <w:rPr>
          <w:color w:val="000000"/>
        </w:rPr>
        <w:t>II – teletrabalho, em regime de execução parcial e total;</w:t>
      </w:r>
    </w:p>
    <w:p w14:paraId="5928C916" w14:textId="77777777" w:rsidR="00C003B3" w:rsidRDefault="00C003B3" w:rsidP="00C003B3">
      <w:pPr>
        <w:pStyle w:val="NormalWeb"/>
        <w:spacing w:before="0" w:beforeAutospacing="0" w:after="0" w:afterAutospacing="0"/>
        <w:jc w:val="both"/>
      </w:pPr>
      <w:r>
        <w:rPr>
          <w:i/>
          <w:iCs/>
          <w:color w:val="FF0000"/>
        </w:rPr>
        <w:t>[É facultado que o art. 3º preveja exceções às modalidades. Neste caso, a Nota Técnica que acompanhar a presente minuta deve apresentar os critérios definidos pela UFOB e pela unidade e as suas respectivas motivações.]</w:t>
      </w:r>
    </w:p>
    <w:p w14:paraId="0CB7473C" w14:textId="77777777" w:rsidR="00C003B3" w:rsidRDefault="00C003B3" w:rsidP="00C003B3"/>
    <w:p w14:paraId="6E346E09" w14:textId="77777777" w:rsidR="00C003B3" w:rsidRDefault="00C003B3" w:rsidP="00C003B3">
      <w:pPr>
        <w:pStyle w:val="NormalWeb"/>
        <w:spacing w:before="0" w:beforeAutospacing="0" w:after="0" w:afterAutospacing="0"/>
        <w:jc w:val="both"/>
      </w:pPr>
      <w:r>
        <w:rPr>
          <w:b/>
          <w:bCs/>
          <w:color w:val="000000"/>
        </w:rPr>
        <w:t>Quantitativo de vagas </w:t>
      </w:r>
    </w:p>
    <w:p w14:paraId="6C6E33AC" w14:textId="77777777" w:rsidR="00C003B3" w:rsidRDefault="00C003B3" w:rsidP="00C003B3">
      <w:pPr>
        <w:pStyle w:val="NormalWeb"/>
        <w:spacing w:before="0" w:beforeAutospacing="0" w:after="0" w:afterAutospacing="0"/>
        <w:jc w:val="both"/>
      </w:pPr>
      <w:r>
        <w:rPr>
          <w:color w:val="000000"/>
        </w:rPr>
        <w:t>Art. 4º- O número de vagas para o PGD deverá observar os seguintes percentuais, em relação ao total de participantes desta unidade instituidora:</w:t>
      </w:r>
    </w:p>
    <w:p w14:paraId="5AC1369C" w14:textId="77777777" w:rsidR="00C003B3" w:rsidRDefault="00C003B3" w:rsidP="00C003B3">
      <w:pPr>
        <w:pStyle w:val="NormalWeb"/>
        <w:numPr>
          <w:ilvl w:val="0"/>
          <w:numId w:val="3"/>
        </w:numPr>
        <w:spacing w:before="0" w:beforeAutospacing="0" w:after="0" w:afterAutospacing="0"/>
        <w:jc w:val="both"/>
        <w:textAlignment w:val="baseline"/>
        <w:rPr>
          <w:color w:val="000000"/>
        </w:rPr>
      </w:pPr>
      <w:r>
        <w:rPr>
          <w:color w:val="000000"/>
        </w:rPr>
        <w:t>Presencial: até 100%</w:t>
      </w:r>
    </w:p>
    <w:p w14:paraId="4158D284" w14:textId="77777777" w:rsidR="00C003B3" w:rsidRDefault="00C003B3" w:rsidP="00C003B3">
      <w:pPr>
        <w:pStyle w:val="NormalWeb"/>
        <w:numPr>
          <w:ilvl w:val="0"/>
          <w:numId w:val="3"/>
        </w:numPr>
        <w:spacing w:before="0" w:beforeAutospacing="0" w:after="0" w:afterAutospacing="0"/>
        <w:jc w:val="both"/>
        <w:textAlignment w:val="baseline"/>
        <w:rPr>
          <w:color w:val="000000"/>
        </w:rPr>
      </w:pPr>
      <w:r>
        <w:rPr>
          <w:color w:val="000000"/>
        </w:rPr>
        <w:lastRenderedPageBreak/>
        <w:t>Teletrabalho, em regime de execução parcial: até 100%; e</w:t>
      </w:r>
    </w:p>
    <w:p w14:paraId="0790F59D" w14:textId="77777777" w:rsidR="00C003B3" w:rsidRDefault="00C003B3" w:rsidP="00C003B3">
      <w:pPr>
        <w:pStyle w:val="NormalWeb"/>
        <w:numPr>
          <w:ilvl w:val="0"/>
          <w:numId w:val="3"/>
        </w:numPr>
        <w:spacing w:before="0" w:beforeAutospacing="0" w:after="200" w:afterAutospacing="0"/>
        <w:jc w:val="both"/>
        <w:textAlignment w:val="baseline"/>
        <w:rPr>
          <w:color w:val="000000"/>
        </w:rPr>
      </w:pPr>
      <w:r>
        <w:rPr>
          <w:color w:val="000000"/>
        </w:rPr>
        <w:t>Teletrabalho, em regime de execução integral: excepcional, conforme Portaria UFOB nº 668/2026.</w:t>
      </w:r>
    </w:p>
    <w:p w14:paraId="5F2B2B7A" w14:textId="77777777" w:rsidR="00C003B3" w:rsidRDefault="00C003B3" w:rsidP="00C003B3">
      <w:pPr>
        <w:pStyle w:val="NormalWeb"/>
        <w:spacing w:before="0" w:beforeAutospacing="0" w:after="0" w:afterAutospacing="0"/>
        <w:jc w:val="both"/>
      </w:pPr>
      <w:r>
        <w:rPr>
          <w:i/>
          <w:iCs/>
          <w:color w:val="FF0000"/>
        </w:rPr>
        <w:t>[É facultado que o art. 4º preveja percentuais que atendam à necessidade de unidade, observando a Portaria UFOB nº 668/2026. Neste caso, a Nota Técnica que acompanhar a presente minuta deve apresentar os critérios definidos pelo órgão/entidade e as suas respectivas motivações.]</w:t>
      </w:r>
    </w:p>
    <w:p w14:paraId="162FBDF1" w14:textId="77777777" w:rsidR="00C003B3" w:rsidRDefault="00C003B3" w:rsidP="00C003B3"/>
    <w:p w14:paraId="40967921" w14:textId="77777777" w:rsidR="00C003B3" w:rsidRDefault="00C003B3" w:rsidP="00C003B3">
      <w:pPr>
        <w:pStyle w:val="NormalWeb"/>
        <w:spacing w:before="0" w:beforeAutospacing="0" w:after="0" w:afterAutospacing="0"/>
        <w:jc w:val="both"/>
      </w:pPr>
      <w:r>
        <w:rPr>
          <w:b/>
          <w:bCs/>
          <w:color w:val="000000"/>
        </w:rPr>
        <w:t>Seleção dos participantes</w:t>
      </w:r>
    </w:p>
    <w:p w14:paraId="67B1B1C4" w14:textId="77777777" w:rsidR="00C003B3" w:rsidRDefault="00C003B3" w:rsidP="00C003B3">
      <w:pPr>
        <w:pStyle w:val="NormalWeb"/>
        <w:spacing w:before="0" w:beforeAutospacing="0" w:after="0" w:afterAutospacing="0"/>
        <w:jc w:val="both"/>
      </w:pPr>
      <w:r>
        <w:rPr>
          <w:color w:val="000000"/>
        </w:rPr>
        <w:t xml:space="preserve">Art. 5º O PGD é direcionado aos(às) seguintes agentes públicos(as) em exercício no(a) </w:t>
      </w:r>
      <w:r>
        <w:rPr>
          <w:color w:val="FF0000"/>
        </w:rPr>
        <w:t>[NOME DA UNIDADE]</w:t>
      </w:r>
      <w:r>
        <w:rPr>
          <w:color w:val="000000"/>
        </w:rPr>
        <w:t>, na condição de participante, respeitados os requisitos estabelecidos de acordo com as normas institucionais e legislação vigente:</w:t>
      </w:r>
      <w:r>
        <w:rPr>
          <w:rStyle w:val="apple-tab-span"/>
          <w:color w:val="000000"/>
        </w:rPr>
        <w:tab/>
      </w:r>
    </w:p>
    <w:p w14:paraId="26FD90AF" w14:textId="77777777" w:rsidR="00C003B3" w:rsidRDefault="00C003B3" w:rsidP="00C003B3"/>
    <w:p w14:paraId="68A4534D" w14:textId="77777777" w:rsidR="00C003B3" w:rsidRDefault="00C003B3" w:rsidP="00C003B3">
      <w:pPr>
        <w:pStyle w:val="NormalWeb"/>
        <w:spacing w:before="0" w:beforeAutospacing="0" w:after="0" w:afterAutospacing="0"/>
        <w:jc w:val="both"/>
      </w:pPr>
      <w:r>
        <w:rPr>
          <w:color w:val="000000"/>
        </w:rPr>
        <w:t>I – pessoa servidora técnico-administrativa em educação ocupante de cargo efetivo e regido pela Lei nº 8.112, de 11 de dezembro de 1990, independentemente da condição de ocupante ou não de função gratificada;</w:t>
      </w:r>
      <w:r>
        <w:rPr>
          <w:rStyle w:val="apple-tab-span"/>
          <w:color w:val="000000"/>
        </w:rPr>
        <w:tab/>
      </w:r>
    </w:p>
    <w:p w14:paraId="031CA6FD" w14:textId="77777777" w:rsidR="00C003B3" w:rsidRDefault="00C003B3" w:rsidP="00C003B3">
      <w:pPr>
        <w:pStyle w:val="NormalWeb"/>
        <w:spacing w:before="0" w:beforeAutospacing="0" w:after="0" w:afterAutospacing="0"/>
        <w:jc w:val="both"/>
      </w:pPr>
      <w:r>
        <w:rPr>
          <w:color w:val="000000"/>
        </w:rPr>
        <w:t>II – pessoa servidora técnico-administrativa em educação ocupante de cargo efetivo e regido pela Lei nº 8.112, de 11 de dezembro de 1990, ocupante de cargo de direção nível IV (CD-IV);</w:t>
      </w:r>
    </w:p>
    <w:p w14:paraId="7D3EEE9B" w14:textId="77777777" w:rsidR="00C003B3" w:rsidRDefault="00C003B3" w:rsidP="00C003B3">
      <w:pPr>
        <w:pStyle w:val="NormalWeb"/>
        <w:spacing w:before="0" w:beforeAutospacing="0" w:after="0" w:afterAutospacing="0"/>
        <w:jc w:val="both"/>
      </w:pPr>
      <w:r>
        <w:rPr>
          <w:color w:val="000000"/>
        </w:rPr>
        <w:t>III – pessoa empregada pública em exercício no(a) [NOME DA UNIDADE]; e</w:t>
      </w:r>
      <w:r>
        <w:rPr>
          <w:rStyle w:val="apple-tab-span"/>
          <w:color w:val="000000"/>
        </w:rPr>
        <w:tab/>
      </w:r>
    </w:p>
    <w:p w14:paraId="7254A113" w14:textId="77777777" w:rsidR="00C003B3" w:rsidRDefault="00C003B3" w:rsidP="00C003B3">
      <w:pPr>
        <w:pStyle w:val="NormalWeb"/>
        <w:spacing w:before="0" w:beforeAutospacing="0" w:after="0" w:afterAutospacing="0"/>
        <w:jc w:val="both"/>
      </w:pPr>
      <w:r>
        <w:rPr>
          <w:color w:val="000000"/>
        </w:rPr>
        <w:t>IV – pessoa servidora técnico-administrativa contratada por tempo determinado, nos termos do disposto na Lei nº 8.745, de 9 de dezembro de 1993.</w:t>
      </w:r>
      <w:r>
        <w:rPr>
          <w:rStyle w:val="apple-tab-span"/>
          <w:color w:val="000000"/>
          <w:sz w:val="22"/>
          <w:szCs w:val="22"/>
        </w:rPr>
        <w:tab/>
      </w:r>
    </w:p>
    <w:p w14:paraId="33B454E8" w14:textId="77777777" w:rsidR="00C003B3" w:rsidRDefault="00C003B3" w:rsidP="00C003B3">
      <w:pPr>
        <w:pStyle w:val="NormalWeb"/>
        <w:spacing w:before="0" w:beforeAutospacing="0" w:after="0" w:afterAutospacing="0"/>
        <w:jc w:val="both"/>
      </w:pPr>
      <w:r>
        <w:rPr>
          <w:i/>
          <w:iCs/>
          <w:color w:val="FF0000"/>
        </w:rPr>
        <w:t>[É facultado que o art. 5º estabeleça vedação para participação de alguns agentes públicos. Neste caso, a Nota Técnica que acompanhar a presente minuta deve apresentar os critérios definidos pelo órgão/entidade e as suas respectivas motivações.]</w:t>
      </w:r>
    </w:p>
    <w:p w14:paraId="282A1DA0" w14:textId="77777777" w:rsidR="00C003B3" w:rsidRDefault="00C003B3" w:rsidP="00C003B3"/>
    <w:p w14:paraId="72BF58B1" w14:textId="77777777" w:rsidR="00C003B3" w:rsidRDefault="00C003B3" w:rsidP="00C003B3">
      <w:pPr>
        <w:pStyle w:val="NormalWeb"/>
        <w:spacing w:before="0" w:beforeAutospacing="0" w:after="0" w:afterAutospacing="0"/>
        <w:jc w:val="both"/>
      </w:pPr>
      <w:r>
        <w:rPr>
          <w:color w:val="000000"/>
        </w:rPr>
        <w:t>Art. 6º A seleção dos participantes será realizada pela chefia da unidade de execução, observando a natureza do trabalho e as competências dos interessados.</w:t>
      </w:r>
    </w:p>
    <w:p w14:paraId="31BA68C6" w14:textId="77777777" w:rsidR="00C003B3" w:rsidRDefault="00C003B3" w:rsidP="00C003B3">
      <w:pPr>
        <w:pStyle w:val="NormalWeb"/>
        <w:spacing w:before="0" w:beforeAutospacing="0" w:after="0" w:afterAutospacing="0"/>
        <w:jc w:val="both"/>
      </w:pPr>
      <w:r>
        <w:rPr>
          <w:i/>
          <w:iCs/>
          <w:color w:val="FF0000"/>
        </w:rPr>
        <w:t>[É facultado que o art. 6º estabeleça outros critérios a serem observados na seleção dos participantes. Neste caso, a Nota Técnica que acompanhar a presente minuta deve apresentar os critérios definidos pelo órgão/entidade e as suas respectivas motivações.]</w:t>
      </w:r>
    </w:p>
    <w:p w14:paraId="5752521D" w14:textId="77777777" w:rsidR="00C003B3" w:rsidRDefault="00C003B3" w:rsidP="00C003B3"/>
    <w:p w14:paraId="0C2508BE" w14:textId="77777777" w:rsidR="00C003B3" w:rsidRDefault="00C003B3" w:rsidP="00C003B3">
      <w:pPr>
        <w:pStyle w:val="NormalWeb"/>
        <w:spacing w:before="0" w:beforeAutospacing="0" w:after="0" w:afterAutospacing="0"/>
        <w:jc w:val="both"/>
      </w:pPr>
      <w:r>
        <w:rPr>
          <w:color w:val="000000"/>
        </w:rPr>
        <w:t>Art.  7º Caso o número de interessados ultrapasse o quantitativo de vagas, a chefia da unidade de execução deverá priorizar os seguintes candidatos, nesta ordem:</w:t>
      </w:r>
    </w:p>
    <w:p w14:paraId="03CD0B36" w14:textId="77777777" w:rsidR="00C003B3" w:rsidRDefault="00C003B3" w:rsidP="00C003B3">
      <w:pPr>
        <w:pStyle w:val="NormalWeb"/>
        <w:spacing w:before="240" w:beforeAutospacing="0" w:after="0" w:afterAutospacing="0"/>
        <w:jc w:val="both"/>
      </w:pPr>
      <w:r>
        <w:rPr>
          <w:color w:val="000000"/>
        </w:rPr>
        <w:t>I. Pessoa com deficiência ou que sejam pais ou responsáveis por dependentes na mesma condição;</w:t>
      </w:r>
    </w:p>
    <w:p w14:paraId="6C33D435" w14:textId="77777777" w:rsidR="00C003B3" w:rsidRDefault="00C003B3" w:rsidP="00C003B3">
      <w:pPr>
        <w:pStyle w:val="NormalWeb"/>
        <w:spacing w:before="240" w:beforeAutospacing="0" w:after="0" w:afterAutospacing="0"/>
        <w:jc w:val="both"/>
      </w:pPr>
      <w:r>
        <w:rPr>
          <w:color w:val="000000"/>
        </w:rPr>
        <w:t>II. Pessoa com mobilidade reduzida, nos termos da Lei nº 10.098, de 19 de dezembro de 2000;</w:t>
      </w:r>
    </w:p>
    <w:p w14:paraId="1B60DAEF" w14:textId="77777777" w:rsidR="00C003B3" w:rsidRDefault="00C003B3" w:rsidP="00C003B3">
      <w:pPr>
        <w:pStyle w:val="NormalWeb"/>
        <w:spacing w:before="0" w:beforeAutospacing="0" w:after="0" w:afterAutospacing="0"/>
        <w:jc w:val="both"/>
      </w:pPr>
      <w:r>
        <w:rPr>
          <w:color w:val="000000"/>
        </w:rPr>
        <w:t>III. Servidoras mulheres e homens que estejam em relação homoafetiva, em situação de violência doméstica e familiar;</w:t>
      </w:r>
    </w:p>
    <w:p w14:paraId="6DBBC908" w14:textId="77777777" w:rsidR="00C003B3" w:rsidRDefault="00C003B3" w:rsidP="00C003B3">
      <w:pPr>
        <w:pStyle w:val="NormalWeb"/>
        <w:spacing w:before="0" w:beforeAutospacing="0" w:after="0" w:afterAutospacing="0"/>
        <w:jc w:val="both"/>
      </w:pPr>
      <w:r>
        <w:rPr>
          <w:color w:val="000000"/>
        </w:rPr>
        <w:t>IV. Pessoa com horário especial, nos termos dos §§ 2º e 3º do art. 98 da Lei nº 8.112, de 11 de dezembro de 1990;</w:t>
      </w:r>
    </w:p>
    <w:p w14:paraId="581C1950" w14:textId="77777777" w:rsidR="00C003B3" w:rsidRDefault="00C003B3" w:rsidP="00C003B3">
      <w:pPr>
        <w:pStyle w:val="NormalWeb"/>
        <w:spacing w:before="0" w:beforeAutospacing="0" w:after="0" w:afterAutospacing="0"/>
        <w:jc w:val="both"/>
      </w:pPr>
      <w:r>
        <w:rPr>
          <w:color w:val="000000"/>
        </w:rPr>
        <w:t>V. Pessoa idosa (acima de 60 anos);</w:t>
      </w:r>
    </w:p>
    <w:p w14:paraId="4903F0FF" w14:textId="77777777" w:rsidR="00C003B3" w:rsidRDefault="00C003B3" w:rsidP="00C003B3">
      <w:pPr>
        <w:pStyle w:val="NormalWeb"/>
        <w:spacing w:before="0" w:beforeAutospacing="0" w:after="0" w:afterAutospacing="0"/>
        <w:jc w:val="both"/>
      </w:pPr>
      <w:r>
        <w:rPr>
          <w:color w:val="000000"/>
        </w:rPr>
        <w:lastRenderedPageBreak/>
        <w:t>VI. Pessoa acometida de moléstia profissional, tuberculose ativa, alienação mental, esclerose múltipla, neoplasia maligna, cegueira, hanseníase, paralisia irreversível e incapacitante, cardiopatia grave, doença de Parkinson, espondiloartrose anquilosante, nefropatia grave, hepatopatia grave, estados avançados da doença de Paget (osteíte deformante), contaminação por radiação, ou síndrome da imunodeficiência adquirida;</w:t>
      </w:r>
    </w:p>
    <w:p w14:paraId="374145CC" w14:textId="77777777" w:rsidR="00C003B3" w:rsidRDefault="00C003B3" w:rsidP="00C003B3">
      <w:pPr>
        <w:pStyle w:val="NormalWeb"/>
        <w:spacing w:before="0" w:beforeAutospacing="0" w:after="0" w:afterAutospacing="0"/>
        <w:jc w:val="both"/>
      </w:pPr>
      <w:r>
        <w:rPr>
          <w:color w:val="000000"/>
        </w:rPr>
        <w:t>VII. Pessoa gestante;</w:t>
      </w:r>
    </w:p>
    <w:p w14:paraId="5E1F70CF" w14:textId="77777777" w:rsidR="00C003B3" w:rsidRDefault="00C003B3" w:rsidP="00C003B3">
      <w:pPr>
        <w:pStyle w:val="NormalWeb"/>
        <w:spacing w:before="0" w:beforeAutospacing="0" w:after="0" w:afterAutospacing="0"/>
        <w:jc w:val="both"/>
      </w:pPr>
      <w:r>
        <w:rPr>
          <w:color w:val="000000"/>
        </w:rPr>
        <w:t>VIII. Pessoa lactante de filho(a) de até dois anos de idade;</w:t>
      </w:r>
    </w:p>
    <w:p w14:paraId="77379CE6" w14:textId="77777777" w:rsidR="00C003B3" w:rsidRDefault="00C003B3" w:rsidP="00C003B3">
      <w:pPr>
        <w:pStyle w:val="NormalWeb"/>
        <w:spacing w:before="0" w:beforeAutospacing="0" w:after="0" w:afterAutospacing="0"/>
        <w:jc w:val="both"/>
      </w:pPr>
      <w:r>
        <w:rPr>
          <w:color w:val="000000"/>
        </w:rPr>
        <w:t>IX. Pessoa servidora com filho(a)s de zero a quatro anos ou em idade escolar, matriculado(a)s no Ensino Infantil e/ou séries iniciais do Ensino Fundamental e</w:t>
      </w:r>
    </w:p>
    <w:p w14:paraId="2B8B0C62" w14:textId="77777777" w:rsidR="00C003B3" w:rsidRDefault="00C003B3" w:rsidP="00C003B3">
      <w:pPr>
        <w:pStyle w:val="NormalWeb"/>
        <w:spacing w:before="0" w:beforeAutospacing="0" w:after="0" w:afterAutospacing="0"/>
        <w:jc w:val="both"/>
      </w:pPr>
      <w:r>
        <w:rPr>
          <w:color w:val="000000"/>
        </w:rPr>
        <w:t>X. Outros critérios definidos pela unidade instituidora, como a partir de resultados da última avaliação do plano de trabalho do participante ou a avaliação de desempenho individual.</w:t>
      </w:r>
    </w:p>
    <w:p w14:paraId="1066C394" w14:textId="77777777" w:rsidR="00C003B3" w:rsidRDefault="00C003B3" w:rsidP="00C003B3"/>
    <w:p w14:paraId="5169AC2D" w14:textId="77777777" w:rsidR="00C003B3" w:rsidRDefault="00C003B3" w:rsidP="00C003B3">
      <w:pPr>
        <w:pStyle w:val="NormalWeb"/>
        <w:spacing w:before="0" w:beforeAutospacing="0" w:after="0" w:afterAutospacing="0"/>
        <w:jc w:val="both"/>
      </w:pPr>
      <w:r>
        <w:rPr>
          <w:i/>
          <w:iCs/>
          <w:color w:val="FF0000"/>
        </w:rPr>
        <w:t>[A ordem apresentada neste modelo é a mesma constante na  Portaria UFOB nº 668/2026. No entanto, é possível, também, que sejam previstos outros critérios para priorização de participantes de acordo com as especificidades da unidade. Neste caso, a Nota Técnica que acompanhar a presente minuta deve apresentar os critérios definidos pela unidade e as suas respectivas motivações.]</w:t>
      </w:r>
    </w:p>
    <w:p w14:paraId="5DFF2904" w14:textId="77777777" w:rsidR="00C003B3" w:rsidRDefault="00C003B3" w:rsidP="00C003B3">
      <w:pPr>
        <w:pStyle w:val="NormalWeb"/>
        <w:spacing w:before="240" w:beforeAutospacing="0" w:after="0" w:afterAutospacing="0"/>
        <w:jc w:val="both"/>
      </w:pPr>
      <w:r>
        <w:rPr>
          <w:color w:val="000000"/>
        </w:rPr>
        <w:t>§ 1º A chefia imediata proverá, sempre que possível, o revezamento entre as pessoas interessadas em participar do PGD e, em caso de indeferimento, enviará as devidas justificativas por e-mail institucional, conforme os arts. 16, parágrafo único, e 17 da Portaria UFOB nº 668/2026.</w:t>
      </w:r>
    </w:p>
    <w:p w14:paraId="20D56329" w14:textId="77777777" w:rsidR="00C003B3" w:rsidRDefault="00C003B3" w:rsidP="00C003B3">
      <w:pPr>
        <w:pStyle w:val="NormalWeb"/>
        <w:spacing w:before="240" w:beforeAutospacing="0" w:after="0" w:afterAutospacing="0"/>
        <w:jc w:val="both"/>
      </w:pPr>
      <w:r>
        <w:rPr>
          <w:color w:val="000000"/>
        </w:rPr>
        <w:t>§ 2º Compete à chefia da unidade de execução monitorar o cumprimento das modalidades e manter a respectiva participação atualizada nos sistemas informatizados vigentes, em observância ao art. 10, § 2º e art. 43, V, da Portaria UFOB nº 668/2026.</w:t>
      </w:r>
    </w:p>
    <w:p w14:paraId="3549D42B" w14:textId="77777777" w:rsidR="00C003B3" w:rsidRDefault="00C003B3" w:rsidP="00C003B3"/>
    <w:p w14:paraId="6C5D38E8" w14:textId="77777777" w:rsidR="00C003B3" w:rsidRDefault="00C003B3" w:rsidP="00C003B3">
      <w:pPr>
        <w:pStyle w:val="NormalWeb"/>
        <w:spacing w:before="0" w:beforeAutospacing="0" w:after="0" w:afterAutospacing="0"/>
        <w:jc w:val="both"/>
      </w:pPr>
      <w:r>
        <w:rPr>
          <w:b/>
          <w:bCs/>
          <w:color w:val="000000"/>
        </w:rPr>
        <w:t>Termo de Ciência e Responsabilidade </w:t>
      </w:r>
    </w:p>
    <w:p w14:paraId="4F5CFA77" w14:textId="77777777" w:rsidR="00C003B3" w:rsidRDefault="00C003B3" w:rsidP="00C003B3">
      <w:pPr>
        <w:pStyle w:val="NormalWeb"/>
        <w:spacing w:before="0" w:beforeAutospacing="0" w:after="0" w:afterAutospacing="0"/>
        <w:jc w:val="both"/>
      </w:pPr>
      <w:r>
        <w:rPr>
          <w:color w:val="000000"/>
        </w:rPr>
        <w:t>Art. 8º O participante selecionado deverá assinar o Termo de Ciência e Responsabilidade (TCR), nos moldes desta Portaria.</w:t>
      </w:r>
    </w:p>
    <w:p w14:paraId="3D018D82" w14:textId="77777777" w:rsidR="00C003B3" w:rsidRDefault="00C003B3" w:rsidP="00C003B3"/>
    <w:p w14:paraId="7F9E8BBD" w14:textId="77777777" w:rsidR="00C003B3" w:rsidRDefault="00C003B3" w:rsidP="00C003B3">
      <w:pPr>
        <w:pStyle w:val="NormalWeb"/>
        <w:spacing w:before="0" w:beforeAutospacing="0" w:after="0" w:afterAutospacing="0"/>
        <w:jc w:val="both"/>
      </w:pPr>
      <w:r>
        <w:rPr>
          <w:color w:val="000000"/>
        </w:rPr>
        <w:t>Parágrafo único. É permitida a inclusão de conteúdos adicionais aos previstos no TCR, desde que não contrariem o disposto no Decreto nº 11.072/2022, na IN 24/2023 e nas normas vigentes da instituição, com suas devidas atualizações.</w:t>
      </w:r>
    </w:p>
    <w:p w14:paraId="0063D7DC" w14:textId="77777777" w:rsidR="00C003B3" w:rsidRDefault="00C003B3" w:rsidP="00C003B3"/>
    <w:p w14:paraId="115CD2B0" w14:textId="77777777" w:rsidR="00C003B3" w:rsidRDefault="00C003B3" w:rsidP="00C003B3">
      <w:pPr>
        <w:pStyle w:val="NormalWeb"/>
        <w:spacing w:before="0" w:beforeAutospacing="0" w:after="0" w:afterAutospacing="0"/>
        <w:jc w:val="both"/>
      </w:pPr>
      <w:r>
        <w:rPr>
          <w:b/>
          <w:bCs/>
          <w:color w:val="000000"/>
        </w:rPr>
        <w:t>Prazo de antecedência mínima para convocações presenciais</w:t>
      </w:r>
    </w:p>
    <w:p w14:paraId="310B7385" w14:textId="77777777" w:rsidR="00C003B3" w:rsidRDefault="00C003B3" w:rsidP="00C003B3">
      <w:pPr>
        <w:pStyle w:val="NormalWeb"/>
        <w:spacing w:before="0" w:beforeAutospacing="0" w:after="0" w:afterAutospacing="0"/>
        <w:jc w:val="both"/>
      </w:pPr>
      <w:r>
        <w:rPr>
          <w:color w:val="000000"/>
        </w:rPr>
        <w:t xml:space="preserve">Art. 9º As convocações para comparecimento presencial dos participantes em teletrabalho deverão ser apresentadas com, no mínimo, </w:t>
      </w:r>
      <w:r>
        <w:rPr>
          <w:i/>
          <w:iCs/>
          <w:color w:val="FF0000"/>
        </w:rPr>
        <w:t>[no mínimo 48 horas para teletrabalho parcial, 72 horas para teletrabalho integral e 10 dias para teletrabalho no exterior]</w:t>
      </w:r>
      <w:r>
        <w:rPr>
          <w:color w:val="FF0000"/>
        </w:rPr>
        <w:t xml:space="preserve"> </w:t>
      </w:r>
      <w:r>
        <w:rPr>
          <w:color w:val="000000"/>
        </w:rPr>
        <w:t>de antecedência. </w:t>
      </w:r>
    </w:p>
    <w:p w14:paraId="1F5B8566" w14:textId="77777777" w:rsidR="00C003B3" w:rsidRDefault="00C003B3" w:rsidP="00C003B3">
      <w:pPr>
        <w:pStyle w:val="NormalWeb"/>
        <w:spacing w:before="0" w:beforeAutospacing="0" w:after="0" w:afterAutospacing="0"/>
        <w:jc w:val="both"/>
      </w:pPr>
      <w:r>
        <w:rPr>
          <w:color w:val="000000"/>
        </w:rPr>
        <w:t>Parágrafo único. Ao convocar o participante, a chefia da unidade de execução deverá:</w:t>
      </w:r>
    </w:p>
    <w:p w14:paraId="15195C12" w14:textId="77777777" w:rsidR="00C003B3" w:rsidRDefault="00C003B3" w:rsidP="00C003B3">
      <w:pPr>
        <w:pStyle w:val="NormalWeb"/>
        <w:numPr>
          <w:ilvl w:val="0"/>
          <w:numId w:val="4"/>
        </w:numPr>
        <w:spacing w:before="0" w:beforeAutospacing="0" w:after="0" w:afterAutospacing="0"/>
        <w:jc w:val="both"/>
        <w:textAlignment w:val="baseline"/>
        <w:rPr>
          <w:color w:val="000000"/>
        </w:rPr>
      </w:pPr>
      <w:r>
        <w:rPr>
          <w:color w:val="000000"/>
        </w:rPr>
        <w:t>Registrar a comunicação nos canais de comunicação definidos no TCR;</w:t>
      </w:r>
    </w:p>
    <w:p w14:paraId="08EDD2FE" w14:textId="77777777" w:rsidR="00C003B3" w:rsidRDefault="00C003B3" w:rsidP="00C003B3">
      <w:pPr>
        <w:pStyle w:val="NormalWeb"/>
        <w:numPr>
          <w:ilvl w:val="0"/>
          <w:numId w:val="4"/>
        </w:numPr>
        <w:spacing w:before="0" w:beforeAutospacing="0" w:after="0" w:afterAutospacing="0"/>
        <w:jc w:val="both"/>
        <w:textAlignment w:val="baseline"/>
        <w:rPr>
          <w:color w:val="000000"/>
        </w:rPr>
      </w:pPr>
      <w:r>
        <w:rPr>
          <w:color w:val="000000"/>
        </w:rPr>
        <w:t>Estabelecer o horário e o local para comparecimento; e</w:t>
      </w:r>
    </w:p>
    <w:p w14:paraId="26C41372" w14:textId="77777777" w:rsidR="00C003B3" w:rsidRDefault="00C003B3" w:rsidP="00C003B3">
      <w:pPr>
        <w:pStyle w:val="NormalWeb"/>
        <w:numPr>
          <w:ilvl w:val="0"/>
          <w:numId w:val="4"/>
        </w:numPr>
        <w:spacing w:before="0" w:beforeAutospacing="0" w:after="200" w:afterAutospacing="0"/>
        <w:jc w:val="both"/>
        <w:textAlignment w:val="baseline"/>
        <w:rPr>
          <w:color w:val="000000"/>
        </w:rPr>
      </w:pPr>
      <w:r>
        <w:rPr>
          <w:color w:val="000000"/>
        </w:rPr>
        <w:t>Prever o período em que o participante atuará presencialmente.</w:t>
      </w:r>
    </w:p>
    <w:p w14:paraId="4B2AC698" w14:textId="77777777" w:rsidR="00C003B3" w:rsidRDefault="00C003B3" w:rsidP="00C003B3">
      <w:pPr>
        <w:pStyle w:val="NormalWeb"/>
        <w:spacing w:before="0" w:beforeAutospacing="0" w:after="0" w:afterAutospacing="0"/>
        <w:jc w:val="both"/>
      </w:pPr>
      <w:r>
        <w:rPr>
          <w:b/>
          <w:bCs/>
          <w:color w:val="000000"/>
        </w:rPr>
        <w:t>Registro de comparecimento</w:t>
      </w:r>
    </w:p>
    <w:p w14:paraId="43118850" w14:textId="77777777" w:rsidR="00C003B3" w:rsidRDefault="00C003B3" w:rsidP="00C003B3">
      <w:pPr>
        <w:pStyle w:val="NormalWeb"/>
        <w:spacing w:before="0" w:beforeAutospacing="0" w:after="0" w:afterAutospacing="0"/>
        <w:jc w:val="both"/>
      </w:pPr>
      <w:r>
        <w:rPr>
          <w:color w:val="000000"/>
        </w:rPr>
        <w:lastRenderedPageBreak/>
        <w:t>Art. 10 Fica autorizado o procedimento de registro de comparecimento de participantes para fins de pagamento de auxílio transporte ou outras finalidades. </w:t>
      </w:r>
    </w:p>
    <w:p w14:paraId="12A74FC3" w14:textId="77777777" w:rsidR="00C003B3" w:rsidRDefault="00C003B3" w:rsidP="00C003B3">
      <w:pPr>
        <w:pStyle w:val="NormalWeb"/>
        <w:spacing w:before="0" w:beforeAutospacing="0" w:after="0" w:afterAutospacing="0"/>
        <w:jc w:val="both"/>
      </w:pPr>
      <w:r>
        <w:rPr>
          <w:color w:val="000000"/>
        </w:rPr>
        <w:t>Parágrafo único. Os casos de necessidade de registros de comparecimento deverão constar no TCR.</w:t>
      </w:r>
    </w:p>
    <w:p w14:paraId="37ABB87E" w14:textId="77777777" w:rsidR="00C003B3" w:rsidRDefault="00C003B3" w:rsidP="00C003B3">
      <w:pPr>
        <w:pStyle w:val="NormalWeb"/>
        <w:spacing w:before="0" w:beforeAutospacing="0" w:after="0" w:afterAutospacing="0"/>
        <w:jc w:val="both"/>
      </w:pPr>
      <w:r>
        <w:rPr>
          <w:i/>
          <w:iCs/>
          <w:color w:val="FF0000"/>
        </w:rPr>
        <w:t>[O art. 10 e seu parágrafo único são dispensáveis]</w:t>
      </w:r>
    </w:p>
    <w:p w14:paraId="51D18CA5" w14:textId="77777777" w:rsidR="00C003B3" w:rsidRDefault="00C003B3" w:rsidP="00C003B3"/>
    <w:p w14:paraId="6F0D6BBB" w14:textId="77777777" w:rsidR="00C003B3" w:rsidRDefault="00C003B3" w:rsidP="00C003B3">
      <w:pPr>
        <w:pStyle w:val="NormalWeb"/>
        <w:spacing w:before="0" w:beforeAutospacing="0" w:after="0" w:afterAutospacing="0"/>
        <w:jc w:val="both"/>
      </w:pPr>
      <w:r>
        <w:rPr>
          <w:b/>
          <w:bCs/>
          <w:color w:val="000000"/>
        </w:rPr>
        <w:t>Vigência</w:t>
      </w:r>
    </w:p>
    <w:p w14:paraId="70EAE44F" w14:textId="77777777" w:rsidR="00C003B3" w:rsidRDefault="00C003B3" w:rsidP="00C003B3">
      <w:pPr>
        <w:pStyle w:val="NormalWeb"/>
        <w:spacing w:before="0" w:beforeAutospacing="0" w:after="0" w:afterAutospacing="0"/>
        <w:jc w:val="both"/>
      </w:pPr>
      <w:r>
        <w:rPr>
          <w:color w:val="000000"/>
        </w:rPr>
        <w:t xml:space="preserve">Art. 11 Esta Portaria entra em vigor em </w:t>
      </w:r>
      <w:r>
        <w:rPr>
          <w:i/>
          <w:iCs/>
          <w:color w:val="FF0000"/>
        </w:rPr>
        <w:t>[data]</w:t>
      </w:r>
      <w:r>
        <w:rPr>
          <w:color w:val="FF0000"/>
        </w:rPr>
        <w:t>.</w:t>
      </w:r>
    </w:p>
    <w:p w14:paraId="7E45A2CE" w14:textId="77777777" w:rsidR="00C003B3" w:rsidRDefault="00C003B3" w:rsidP="00C003B3">
      <w:pPr>
        <w:pStyle w:val="NormalWeb"/>
        <w:spacing w:before="0" w:beforeAutospacing="0" w:after="0" w:afterAutospacing="0"/>
        <w:jc w:val="both"/>
      </w:pPr>
      <w:r>
        <w:rPr>
          <w:i/>
          <w:iCs/>
          <w:color w:val="FF0000"/>
        </w:rPr>
        <w:t>[Este modelo de portaria contempla o conteúdo mínimo do ato de instituição do PGD. Por isso, fica facultada a inclusão de conteúdos adicionais aos previstos neste documento, desde que não contrariem o disposto no Decreto nº 11.072/22 e na IN nº 24/23, com suas atualizações].</w:t>
      </w:r>
    </w:p>
    <w:p w14:paraId="5083BFA2" w14:textId="77777777" w:rsidR="00C003B3" w:rsidRDefault="00C003B3" w:rsidP="00C003B3">
      <w:pPr>
        <w:spacing w:after="240"/>
      </w:pPr>
      <w:r>
        <w:br/>
      </w:r>
    </w:p>
    <w:p w14:paraId="695B7AFF" w14:textId="77777777" w:rsidR="00C003B3" w:rsidRDefault="00C003B3" w:rsidP="00C003B3">
      <w:pPr>
        <w:pStyle w:val="NormalWeb"/>
        <w:spacing w:before="0" w:beforeAutospacing="0" w:after="0" w:afterAutospacing="0"/>
        <w:jc w:val="center"/>
      </w:pPr>
      <w:r>
        <w:rPr>
          <w:color w:val="FF0000"/>
        </w:rPr>
        <w:t>[NOME DO(A) DIRETOR(A) / CHEFE DA UNIDADE]</w:t>
      </w:r>
      <w:r>
        <w:rPr>
          <w:color w:val="FF0000"/>
        </w:rPr>
        <w:br/>
        <w:t>[Cargo / Função da Autoridade Competente]</w:t>
      </w:r>
      <w:r>
        <w:rPr>
          <w:color w:val="FF0000"/>
        </w:rPr>
        <w:br/>
        <w:t>[Unidade/ UFOB]</w:t>
      </w:r>
    </w:p>
    <w:p w14:paraId="758A7DF9" w14:textId="77777777" w:rsidR="00C003B3" w:rsidRDefault="00C003B3" w:rsidP="00C003B3">
      <w:pPr>
        <w:spacing w:after="240"/>
      </w:pPr>
      <w:r>
        <w:br/>
      </w:r>
      <w:r>
        <w:br/>
      </w:r>
      <w:r>
        <w:br/>
      </w:r>
      <w:r>
        <w:br/>
      </w:r>
      <w:r>
        <w:br/>
      </w:r>
    </w:p>
    <w:p w14:paraId="5D0FA487" w14:textId="77777777" w:rsidR="00C003B3" w:rsidRDefault="00C003B3" w:rsidP="00C003B3">
      <w:pPr>
        <w:pStyle w:val="NormalWeb"/>
        <w:spacing w:before="0" w:beforeAutospacing="0" w:after="0" w:afterAutospacing="0"/>
        <w:jc w:val="both"/>
      </w:pPr>
      <w:r>
        <w:rPr>
          <w:i/>
          <w:iCs/>
          <w:color w:val="FF0000"/>
        </w:rPr>
        <w:t>Obs: Os campos marcados com "xxxx" e em vermelho ao longo do Modelo do Edital e anexos devem ser preenchidos com informações atualizadas a cada nova publicação ou apagadas quando se tratarem de orientações.</w:t>
      </w:r>
    </w:p>
    <w:p w14:paraId="46A52C1E" w14:textId="77777777" w:rsidR="00F54D19" w:rsidRPr="00C003B3" w:rsidRDefault="00F54D19">
      <w:pPr>
        <w:widowControl/>
        <w:spacing w:after="1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pt-BR"/>
        </w:rPr>
      </w:pPr>
    </w:p>
    <w:sectPr w:rsidR="00F54D19" w:rsidRPr="00C003B3" w:rsidSect="00F353E0">
      <w:headerReference w:type="default" r:id="rId9"/>
      <w:footerReference w:type="default" r:id="rId10"/>
      <w:pgSz w:w="11910" w:h="16850"/>
      <w:pgMar w:top="1701" w:right="1134" w:bottom="1134" w:left="1701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70A1CA" w14:textId="77777777" w:rsidR="00D41560" w:rsidRDefault="00D41560">
      <w:r>
        <w:separator/>
      </w:r>
    </w:p>
  </w:endnote>
  <w:endnote w:type="continuationSeparator" w:id="0">
    <w:p w14:paraId="63CB14BC" w14:textId="77777777" w:rsidR="00D41560" w:rsidRDefault="00D415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adea">
    <w:altName w:val="Cambria"/>
    <w:panose1 w:val="020405030504060302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63E57C" w14:textId="3C7B69CA" w:rsidR="00F54D19" w:rsidRDefault="00A95B55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color w:val="000000"/>
      </w:rPr>
    </w:pPr>
    <w:r>
      <w:rPr>
        <w:color w:val="000000"/>
      </w:rPr>
      <w:t xml:space="preserve">Página </w:t>
    </w:r>
    <w:r>
      <w:rPr>
        <w:b/>
        <w:color w:val="000000"/>
        <w:sz w:val="24"/>
        <w:szCs w:val="24"/>
      </w:rPr>
      <w:fldChar w:fldCharType="begin"/>
    </w:r>
    <w:r>
      <w:rPr>
        <w:b/>
        <w:color w:val="000000"/>
        <w:sz w:val="24"/>
        <w:szCs w:val="24"/>
      </w:rPr>
      <w:instrText>PAGE</w:instrText>
    </w:r>
    <w:r>
      <w:rPr>
        <w:b/>
        <w:color w:val="000000"/>
        <w:sz w:val="24"/>
        <w:szCs w:val="24"/>
      </w:rPr>
      <w:fldChar w:fldCharType="separate"/>
    </w:r>
    <w:r w:rsidR="00C003B3">
      <w:rPr>
        <w:b/>
        <w:noProof/>
        <w:color w:val="000000"/>
        <w:sz w:val="24"/>
        <w:szCs w:val="24"/>
      </w:rPr>
      <w:t>2</w:t>
    </w:r>
    <w:r>
      <w:rPr>
        <w:b/>
        <w:color w:val="000000"/>
        <w:sz w:val="24"/>
        <w:szCs w:val="24"/>
      </w:rPr>
      <w:fldChar w:fldCharType="end"/>
    </w:r>
    <w:r>
      <w:rPr>
        <w:color w:val="000000"/>
      </w:rPr>
      <w:t xml:space="preserve"> de </w:t>
    </w:r>
    <w:r>
      <w:rPr>
        <w:b/>
        <w:color w:val="000000"/>
        <w:sz w:val="24"/>
        <w:szCs w:val="24"/>
      </w:rPr>
      <w:fldChar w:fldCharType="begin"/>
    </w:r>
    <w:r>
      <w:rPr>
        <w:b/>
        <w:color w:val="000000"/>
        <w:sz w:val="24"/>
        <w:szCs w:val="24"/>
      </w:rPr>
      <w:instrText>NUMPAGES</w:instrText>
    </w:r>
    <w:r>
      <w:rPr>
        <w:b/>
        <w:color w:val="000000"/>
        <w:sz w:val="24"/>
        <w:szCs w:val="24"/>
      </w:rPr>
      <w:fldChar w:fldCharType="separate"/>
    </w:r>
    <w:r w:rsidR="00C003B3">
      <w:rPr>
        <w:b/>
        <w:noProof/>
        <w:color w:val="000000"/>
        <w:sz w:val="24"/>
        <w:szCs w:val="24"/>
      </w:rPr>
      <w:t>4</w:t>
    </w:r>
    <w:r>
      <w:rPr>
        <w:b/>
        <w:color w:val="000000"/>
        <w:sz w:val="24"/>
        <w:szCs w:val="24"/>
      </w:rPr>
      <w:fldChar w:fldCharType="end"/>
    </w:r>
  </w:p>
  <w:p w14:paraId="2667976C" w14:textId="77777777" w:rsidR="00F54D19" w:rsidRDefault="00F54D1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5AB2859" w14:textId="77777777" w:rsidR="00D41560" w:rsidRDefault="00D41560">
      <w:r>
        <w:separator/>
      </w:r>
    </w:p>
  </w:footnote>
  <w:footnote w:type="continuationSeparator" w:id="0">
    <w:p w14:paraId="3CB5B7C5" w14:textId="77777777" w:rsidR="00D41560" w:rsidRDefault="00D415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15143A" w14:textId="77777777" w:rsidR="00F54D19" w:rsidRDefault="00F54D19">
    <w:pPr>
      <w:pBdr>
        <w:top w:val="nil"/>
        <w:left w:val="nil"/>
        <w:bottom w:val="nil"/>
        <w:right w:val="nil"/>
        <w:between w:val="nil"/>
      </w:pBdr>
      <w:spacing w:line="276" w:lineRule="auto"/>
      <w:rPr>
        <w:rFonts w:ascii="Times New Roman" w:eastAsia="Times New Roman" w:hAnsi="Times New Roman" w:cs="Times New Roman"/>
        <w:color w:val="000000"/>
        <w:sz w:val="24"/>
        <w:szCs w:val="24"/>
      </w:rPr>
    </w:pPr>
  </w:p>
  <w:tbl>
    <w:tblPr>
      <w:tblStyle w:val="a"/>
      <w:tblW w:w="8797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1686"/>
      <w:gridCol w:w="7111"/>
    </w:tblGrid>
    <w:tr w:rsidR="00F54D19" w14:paraId="59359961" w14:textId="77777777">
      <w:tc>
        <w:tcPr>
          <w:tcW w:w="1686" w:type="dxa"/>
        </w:tcPr>
        <w:p w14:paraId="10B5CE8A" w14:textId="77777777" w:rsidR="00F54D19" w:rsidRDefault="00A95B55">
          <w:pPr>
            <w:rPr>
              <w:rFonts w:ascii="Caladea" w:eastAsia="Caladea" w:hAnsi="Caladea" w:cs="Caladea"/>
            </w:rPr>
          </w:pPr>
          <w:r>
            <w:rPr>
              <w:rFonts w:ascii="Caladea" w:eastAsia="Caladea" w:hAnsi="Caladea" w:cs="Caladea"/>
              <w:noProof/>
              <w:lang w:val="pt-BR"/>
            </w:rPr>
            <w:drawing>
              <wp:inline distT="0" distB="0" distL="0" distR="0" wp14:anchorId="02864C20" wp14:editId="75231B53">
                <wp:extent cx="936534" cy="1186277"/>
                <wp:effectExtent l="0" t="0" r="0" b="0"/>
                <wp:docPr id="7" name="image1.png" descr="C:\Users\leticia.moreira\AppData\Local\Microsoft\Windows\INetCache\Content.Word\assinatura_digital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 descr="C:\Users\leticia.moreira\AppData\Local\Microsoft\Windows\INetCache\Content.Word\assinatura_digital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36534" cy="1186277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111" w:type="dxa"/>
        </w:tcPr>
        <w:p w14:paraId="29C132F7" w14:textId="77777777" w:rsidR="00F54D19" w:rsidRDefault="00F54D19">
          <w:pPr>
            <w:rPr>
              <w:rFonts w:ascii="Caladea" w:eastAsia="Caladea" w:hAnsi="Caladea" w:cs="Caladea"/>
              <w:b/>
            </w:rPr>
          </w:pPr>
        </w:p>
        <w:p w14:paraId="73CCF55C" w14:textId="77777777" w:rsidR="00F54D19" w:rsidRDefault="00F54D19">
          <w:pPr>
            <w:rPr>
              <w:rFonts w:ascii="Caladea" w:eastAsia="Caladea" w:hAnsi="Caladea" w:cs="Caladea"/>
              <w:b/>
            </w:rPr>
          </w:pPr>
        </w:p>
        <w:p w14:paraId="18EDBD24" w14:textId="77777777" w:rsidR="00F54D19" w:rsidRDefault="00F54D19">
          <w:pPr>
            <w:rPr>
              <w:rFonts w:ascii="Caladea" w:eastAsia="Caladea" w:hAnsi="Caladea" w:cs="Caladea"/>
              <w:b/>
            </w:rPr>
          </w:pPr>
        </w:p>
        <w:p w14:paraId="737DC526" w14:textId="77777777" w:rsidR="00F54D19" w:rsidRDefault="00F54D19">
          <w:pPr>
            <w:rPr>
              <w:rFonts w:ascii="Caladea" w:eastAsia="Caladea" w:hAnsi="Caladea" w:cs="Caladea"/>
              <w:b/>
            </w:rPr>
          </w:pPr>
        </w:p>
        <w:p w14:paraId="3B01300D" w14:textId="77777777" w:rsidR="00F54D19" w:rsidRDefault="00F54D19">
          <w:pPr>
            <w:rPr>
              <w:rFonts w:ascii="Caladea" w:eastAsia="Caladea" w:hAnsi="Caladea" w:cs="Caladea"/>
              <w:b/>
            </w:rPr>
          </w:pPr>
        </w:p>
        <w:p w14:paraId="379D3645" w14:textId="77777777" w:rsidR="00F54D19" w:rsidRDefault="00F54D19">
          <w:pPr>
            <w:rPr>
              <w:rFonts w:ascii="Caladea" w:eastAsia="Caladea" w:hAnsi="Caladea" w:cs="Caladea"/>
              <w:b/>
              <w:i/>
            </w:rPr>
          </w:pPr>
        </w:p>
        <w:p w14:paraId="2537BCDA" w14:textId="77777777" w:rsidR="00F54D19" w:rsidRDefault="00A95B55">
          <w:pPr>
            <w:rPr>
              <w:rFonts w:ascii="Caladea" w:eastAsia="Caladea" w:hAnsi="Caladea" w:cs="Caladea"/>
              <w:b/>
            </w:rPr>
          </w:pPr>
          <w:r>
            <w:rPr>
              <w:rFonts w:ascii="Caladea" w:eastAsia="Caladea" w:hAnsi="Caladea" w:cs="Caladea"/>
              <w:b/>
            </w:rPr>
            <w:t>UNIVERSIDADE FEDERAL DO OESTE DA BAHIA</w:t>
          </w:r>
        </w:p>
        <w:p w14:paraId="6654AB1E" w14:textId="77777777" w:rsidR="00F54D19" w:rsidRDefault="00A95B55">
          <w:pPr>
            <w:rPr>
              <w:rFonts w:ascii="Caladea" w:eastAsia="Caladea" w:hAnsi="Caladea" w:cs="Caladea"/>
            </w:rPr>
          </w:pPr>
          <w:r>
            <w:rPr>
              <w:rFonts w:ascii="Caladea" w:eastAsia="Caladea" w:hAnsi="Caladea" w:cs="Caladea"/>
            </w:rPr>
            <w:t>Pró-Reitoria de Gestão de Pessoas</w:t>
          </w:r>
        </w:p>
      </w:tc>
    </w:tr>
  </w:tbl>
  <w:p w14:paraId="784A0543" w14:textId="77777777" w:rsidR="00F54D19" w:rsidRDefault="00F54D1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F45A74"/>
    <w:multiLevelType w:val="hybridMultilevel"/>
    <w:tmpl w:val="95F6642C"/>
    <w:lvl w:ilvl="0" w:tplc="7D689ED4">
      <w:start w:val="1"/>
      <w:numFmt w:val="upperRoman"/>
      <w:lvlText w:val="%1-"/>
      <w:lvlJc w:val="left"/>
      <w:pPr>
        <w:ind w:left="720" w:hanging="360"/>
      </w:pPr>
    </w:lvl>
    <w:lvl w:ilvl="1" w:tplc="CFFC97C4">
      <w:start w:val="1"/>
      <w:numFmt w:val="lowerLetter"/>
      <w:lvlText w:val="%2."/>
      <w:lvlJc w:val="left"/>
      <w:pPr>
        <w:ind w:left="1440" w:hanging="360"/>
      </w:pPr>
    </w:lvl>
    <w:lvl w:ilvl="2" w:tplc="A8322E16">
      <w:start w:val="1"/>
      <w:numFmt w:val="lowerRoman"/>
      <w:lvlText w:val="%3."/>
      <w:lvlJc w:val="right"/>
      <w:pPr>
        <w:ind w:left="2160" w:hanging="180"/>
      </w:pPr>
    </w:lvl>
    <w:lvl w:ilvl="3" w:tplc="90D811E0">
      <w:start w:val="1"/>
      <w:numFmt w:val="decimal"/>
      <w:lvlText w:val="%4."/>
      <w:lvlJc w:val="left"/>
      <w:pPr>
        <w:ind w:left="2880" w:hanging="360"/>
      </w:pPr>
    </w:lvl>
    <w:lvl w:ilvl="4" w:tplc="3A6EFD02">
      <w:start w:val="1"/>
      <w:numFmt w:val="lowerLetter"/>
      <w:lvlText w:val="%5."/>
      <w:lvlJc w:val="left"/>
      <w:pPr>
        <w:ind w:left="3600" w:hanging="360"/>
      </w:pPr>
    </w:lvl>
    <w:lvl w:ilvl="5" w:tplc="C3A408D4">
      <w:start w:val="1"/>
      <w:numFmt w:val="lowerRoman"/>
      <w:lvlText w:val="%6."/>
      <w:lvlJc w:val="right"/>
      <w:pPr>
        <w:ind w:left="4320" w:hanging="180"/>
      </w:pPr>
    </w:lvl>
    <w:lvl w:ilvl="6" w:tplc="F3161694">
      <w:start w:val="1"/>
      <w:numFmt w:val="decimal"/>
      <w:lvlText w:val="%7."/>
      <w:lvlJc w:val="left"/>
      <w:pPr>
        <w:ind w:left="5040" w:hanging="360"/>
      </w:pPr>
    </w:lvl>
    <w:lvl w:ilvl="7" w:tplc="8CDA0810">
      <w:start w:val="1"/>
      <w:numFmt w:val="lowerLetter"/>
      <w:lvlText w:val="%8."/>
      <w:lvlJc w:val="left"/>
      <w:pPr>
        <w:ind w:left="5760" w:hanging="360"/>
      </w:pPr>
    </w:lvl>
    <w:lvl w:ilvl="8" w:tplc="BDCE2A22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040E19"/>
    <w:multiLevelType w:val="hybridMultilevel"/>
    <w:tmpl w:val="DDC4299E"/>
    <w:lvl w:ilvl="0" w:tplc="E04C8836">
      <w:start w:val="1"/>
      <w:numFmt w:val="upperRoman"/>
      <w:lvlText w:val="%1-"/>
      <w:lvlJc w:val="left"/>
      <w:pPr>
        <w:ind w:left="720" w:hanging="360"/>
      </w:pPr>
    </w:lvl>
    <w:lvl w:ilvl="1" w:tplc="2ABE3A1C">
      <w:start w:val="1"/>
      <w:numFmt w:val="lowerLetter"/>
      <w:lvlText w:val="%2."/>
      <w:lvlJc w:val="left"/>
      <w:pPr>
        <w:ind w:left="1440" w:hanging="360"/>
      </w:pPr>
    </w:lvl>
    <w:lvl w:ilvl="2" w:tplc="904C5C54">
      <w:start w:val="1"/>
      <w:numFmt w:val="lowerRoman"/>
      <w:lvlText w:val="%3."/>
      <w:lvlJc w:val="right"/>
      <w:pPr>
        <w:ind w:left="2160" w:hanging="180"/>
      </w:pPr>
    </w:lvl>
    <w:lvl w:ilvl="3" w:tplc="94F4CAAC">
      <w:start w:val="1"/>
      <w:numFmt w:val="decimal"/>
      <w:lvlText w:val="%4."/>
      <w:lvlJc w:val="left"/>
      <w:pPr>
        <w:ind w:left="2880" w:hanging="360"/>
      </w:pPr>
    </w:lvl>
    <w:lvl w:ilvl="4" w:tplc="B5BC6CDE">
      <w:start w:val="1"/>
      <w:numFmt w:val="lowerLetter"/>
      <w:lvlText w:val="%5."/>
      <w:lvlJc w:val="left"/>
      <w:pPr>
        <w:ind w:left="3600" w:hanging="360"/>
      </w:pPr>
    </w:lvl>
    <w:lvl w:ilvl="5" w:tplc="EEEEA084">
      <w:start w:val="1"/>
      <w:numFmt w:val="lowerRoman"/>
      <w:lvlText w:val="%6."/>
      <w:lvlJc w:val="right"/>
      <w:pPr>
        <w:ind w:left="4320" w:hanging="180"/>
      </w:pPr>
    </w:lvl>
    <w:lvl w:ilvl="6" w:tplc="831401A0">
      <w:start w:val="1"/>
      <w:numFmt w:val="decimal"/>
      <w:lvlText w:val="%7."/>
      <w:lvlJc w:val="left"/>
      <w:pPr>
        <w:ind w:left="5040" w:hanging="360"/>
      </w:pPr>
    </w:lvl>
    <w:lvl w:ilvl="7" w:tplc="928A61F0">
      <w:start w:val="1"/>
      <w:numFmt w:val="lowerLetter"/>
      <w:lvlText w:val="%8."/>
      <w:lvlJc w:val="left"/>
      <w:pPr>
        <w:ind w:left="5760" w:hanging="360"/>
      </w:pPr>
    </w:lvl>
    <w:lvl w:ilvl="8" w:tplc="97066D16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FF7B50"/>
    <w:multiLevelType w:val="multilevel"/>
    <w:tmpl w:val="150A74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9155151"/>
    <w:multiLevelType w:val="multilevel"/>
    <w:tmpl w:val="9CA277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3"/>
    <w:lvlOverride w:ilvl="0">
      <w:lvl w:ilvl="0">
        <w:numFmt w:val="upperRoman"/>
        <w:lvlText w:val="%1."/>
        <w:lvlJc w:val="right"/>
      </w:lvl>
    </w:lvlOverride>
  </w:num>
  <w:num w:numId="4">
    <w:abstractNumId w:val="2"/>
    <w:lvlOverride w:ilvl="0">
      <w:lvl w:ilvl="0">
        <w:numFmt w:val="upperRoman"/>
        <w:lvlText w:val="%1."/>
        <w:lvlJc w:val="right"/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4D19"/>
    <w:rsid w:val="000448E4"/>
    <w:rsid w:val="00191392"/>
    <w:rsid w:val="001A084E"/>
    <w:rsid w:val="001A6BAB"/>
    <w:rsid w:val="005E2328"/>
    <w:rsid w:val="00794045"/>
    <w:rsid w:val="009E046E"/>
    <w:rsid w:val="00A7525B"/>
    <w:rsid w:val="00A95B55"/>
    <w:rsid w:val="00AF7659"/>
    <w:rsid w:val="00C003B3"/>
    <w:rsid w:val="00C470FA"/>
    <w:rsid w:val="00C64B54"/>
    <w:rsid w:val="00C650C4"/>
    <w:rsid w:val="00CB34DA"/>
    <w:rsid w:val="00CE1478"/>
    <w:rsid w:val="00D41560"/>
    <w:rsid w:val="00DA3C48"/>
    <w:rsid w:val="00DD6616"/>
    <w:rsid w:val="00E64FB5"/>
    <w:rsid w:val="00E73D89"/>
    <w:rsid w:val="00EE2C0C"/>
    <w:rsid w:val="00F22AAE"/>
    <w:rsid w:val="00F25FBF"/>
    <w:rsid w:val="00F353E0"/>
    <w:rsid w:val="00F54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A05AF7"/>
  <w15:docId w15:val="{25C5D628-66C1-487A-986A-B62B72C8F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-US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link w:val="TtuloChar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i/>
      <w:sz w:val="16"/>
      <w:szCs w:val="16"/>
    </w:rPr>
  </w:style>
  <w:style w:type="paragraph" w:styleId="PargrafodaLista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nhideWhenUsed/>
    <w:rsid w:val="00AA2C3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AA2C30"/>
    <w:rPr>
      <w:rFonts w:ascii="Arial" w:eastAsia="Arial" w:hAnsi="Arial" w:cs="Arial"/>
    </w:rPr>
  </w:style>
  <w:style w:type="paragraph" w:styleId="Rodap">
    <w:name w:val="footer"/>
    <w:basedOn w:val="Normal"/>
    <w:link w:val="RodapChar"/>
    <w:uiPriority w:val="99"/>
    <w:unhideWhenUsed/>
    <w:rsid w:val="00AA2C3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A2C30"/>
    <w:rPr>
      <w:rFonts w:ascii="Arial" w:eastAsia="Arial" w:hAnsi="Arial" w:cs="Arial"/>
    </w:rPr>
  </w:style>
  <w:style w:type="table" w:styleId="Tabelacomgrade">
    <w:name w:val="Table Grid"/>
    <w:basedOn w:val="Tabelanormal"/>
    <w:uiPriority w:val="39"/>
    <w:rsid w:val="00AA2C30"/>
    <w:pPr>
      <w:widowControl/>
    </w:pPr>
    <w:rPr>
      <w:rFonts w:ascii="Times New Roman" w:eastAsia="Times New Roman" w:hAnsi="Times New Roman" w:cs="Times New Roman"/>
      <w:sz w:val="20"/>
      <w:szCs w:val="20"/>
      <w:lang w:val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3">
    <w:name w:val="Tabela com grade3"/>
    <w:basedOn w:val="Tabelanormal"/>
    <w:next w:val="Tabelacomgrade"/>
    <w:uiPriority w:val="39"/>
    <w:rsid w:val="00B3065A"/>
    <w:pPr>
      <w:widowControl/>
    </w:pPr>
    <w:rPr>
      <w:lang w:val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DD4F51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/>
    </w:rPr>
  </w:style>
  <w:style w:type="character" w:styleId="Forte">
    <w:name w:val="Strong"/>
    <w:basedOn w:val="Fontepargpadro"/>
    <w:uiPriority w:val="22"/>
    <w:qFormat/>
    <w:rsid w:val="00B21F3D"/>
    <w:rPr>
      <w:b/>
      <w:bCs/>
    </w:rPr>
  </w:style>
  <w:style w:type="character" w:styleId="Hyperlink">
    <w:name w:val="Hyperlink"/>
    <w:basedOn w:val="Fontepargpadro"/>
    <w:uiPriority w:val="99"/>
    <w:unhideWhenUsed/>
    <w:rsid w:val="00CC06C7"/>
    <w:rPr>
      <w:color w:val="0000FF" w:themeColor="hyperlink"/>
      <w:u w:val="single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pPr>
      <w:widowControl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customStyle="1" w:styleId="UnresolvedMention">
    <w:name w:val="Unresolved Mention"/>
    <w:basedOn w:val="Fontepargpadro"/>
    <w:uiPriority w:val="99"/>
    <w:semiHidden/>
    <w:unhideWhenUsed/>
    <w:rsid w:val="00F25FBF"/>
    <w:rPr>
      <w:color w:val="605E5C"/>
      <w:shd w:val="clear" w:color="auto" w:fill="E1DFDD"/>
    </w:rPr>
  </w:style>
  <w:style w:type="character" w:customStyle="1" w:styleId="TtuloChar">
    <w:name w:val="Título Char"/>
    <w:basedOn w:val="Fontepargpadro"/>
    <w:link w:val="Ttulo"/>
    <w:rsid w:val="000448E4"/>
    <w:rPr>
      <w:b/>
      <w:sz w:val="72"/>
      <w:szCs w:val="72"/>
    </w:rPr>
  </w:style>
  <w:style w:type="character" w:customStyle="1" w:styleId="apple-tab-span">
    <w:name w:val="apple-tab-span"/>
    <w:basedOn w:val="Fontepargpadro"/>
    <w:rsid w:val="00C003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006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xULaKxubgouIo+wIwpll07+eXfQ==">AMUW2mUeENVtePkN0Ry5kEJDW3CwMOwaQBEgHVbahKRc5VrDjHZHhyimVGkAGVgmaUgDDFEBtyR220BTq/Datt/mAC/y5m6sSvYeHvw+p5hP4I5X+tw6dQfOjN9H8LWjtwmA6vN08hsT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BNT_Author.XSL" StyleName="ABNT NBR 6023:2002*" Version="10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C6CADE4A-CD8B-4FE7-8599-B861A69A1A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1305</Words>
  <Characters>7053</Characters>
  <Application>Microsoft Office Word</Application>
  <DocSecurity>0</DocSecurity>
  <Lines>58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cgp-607025</dc:creator>
  <cp:lastModifiedBy>Diana Yoshie Takemoto</cp:lastModifiedBy>
  <cp:revision>2</cp:revision>
  <cp:lastPrinted>2026-10-01T12:20:00Z</cp:lastPrinted>
  <dcterms:created xsi:type="dcterms:W3CDTF">2026-10-01T18:27:00Z</dcterms:created>
  <dcterms:modified xsi:type="dcterms:W3CDTF">2026-10-01T18:27:00Z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2014-07-16T00:00:00Z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2017-04-20T00:00:00Z</vt:filetime>
  </property>
</Properties>
</file>