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E9DBC" w14:textId="71C2E5C7" w:rsidR="0022606C" w:rsidRDefault="0022606C" w:rsidP="0022606C">
      <w:pPr>
        <w:pStyle w:val="NormalWeb"/>
        <w:spacing w:before="0" w:beforeAutospacing="0" w:after="0" w:afterAutospacing="0"/>
        <w:jc w:val="center"/>
      </w:pPr>
      <w:bookmarkStart w:id="0" w:name="_GoBack"/>
      <w:r>
        <w:rPr>
          <w:b/>
          <w:bCs/>
          <w:color w:val="000000"/>
        </w:rPr>
        <w:t>MODELO DE EDITAL INTERNO DE SELEÇÃO EM FLUXO CONTÍNUO DA UNIDADE</w:t>
      </w:r>
    </w:p>
    <w:bookmarkEnd w:id="0"/>
    <w:p w14:paraId="7755E04D" w14:textId="77777777" w:rsidR="0022606C" w:rsidRDefault="0022606C" w:rsidP="0022606C">
      <w:pPr>
        <w:pStyle w:val="NormalWeb"/>
        <w:spacing w:before="480" w:beforeAutospacing="0" w:after="120" w:afterAutospacing="0"/>
        <w:jc w:val="center"/>
      </w:pPr>
      <w:r>
        <w:rPr>
          <w:b/>
          <w:bCs/>
          <w:color w:val="FF0000"/>
        </w:rPr>
        <w:t>EDITAL [NOME DA UNIDADE] Nº [XX] DE [DD] DE [MÊS] DE [ANO]</w:t>
      </w:r>
    </w:p>
    <w:p w14:paraId="348AF438" w14:textId="77777777" w:rsidR="0022606C" w:rsidRDefault="0022606C" w:rsidP="0022606C">
      <w:pPr>
        <w:pStyle w:val="NormalWeb"/>
        <w:spacing w:before="0" w:beforeAutospacing="0" w:after="0" w:afterAutospacing="0"/>
      </w:pPr>
      <w:r>
        <w:rPr>
          <w:color w:val="FF0000"/>
        </w:rPr>
        <w:br/>
        <w:t>Processo associado nº 23520.xxxxx/xxxx-xx.</w:t>
      </w:r>
    </w:p>
    <w:p w14:paraId="51C7CC4E" w14:textId="77777777" w:rsidR="0022606C" w:rsidRDefault="0022606C" w:rsidP="0022606C">
      <w:pPr>
        <w:pStyle w:val="Ttulo1"/>
        <w:jc w:val="center"/>
      </w:pPr>
      <w:r>
        <w:rPr>
          <w:color w:val="000000"/>
          <w:sz w:val="24"/>
          <w:szCs w:val="24"/>
        </w:rPr>
        <w:t>PROCESSO SELEÇÃO EM FLUXO CONTÍNUO PARA O PROGRAMA DE GESTÃO E DESEMPENHO - PGD</w:t>
      </w:r>
    </w:p>
    <w:p w14:paraId="78F59C82" w14:textId="77777777" w:rsidR="0022606C" w:rsidRDefault="0022606C" w:rsidP="0022606C">
      <w:pPr>
        <w:pStyle w:val="NormalWeb"/>
        <w:spacing w:before="0" w:beforeAutospacing="0" w:after="0" w:afterAutospacing="0"/>
        <w:jc w:val="both"/>
      </w:pPr>
      <w:r>
        <w:rPr>
          <w:b/>
          <w:bCs/>
          <w:color w:val="FF0000"/>
        </w:rPr>
        <w:t>ORIENTAÇÃO DE USO MODELO DE FLUXO CONTÍNUO (SELEÇÃO CONTÍNUA):</w:t>
      </w:r>
      <w:r>
        <w:rPr>
          <w:color w:val="FF0000"/>
        </w:rPr>
        <w:br/>
      </w:r>
      <w:r>
        <w:rPr>
          <w:color w:val="FF0000"/>
          <w:sz w:val="20"/>
          <w:szCs w:val="20"/>
        </w:rPr>
        <w:t>Este modelo foi configurado especificamente para Regime de Seleção/Fluxo Contínuo. Nesta modalidade, as inscrições permanecem abertas permanentemente (ou por ciclos periódicos de avaliação), permitindo o ingresso contínuo de servidores à medida que surgirem vagas ou conforme necessidade da unidade. Os campos em vermelho e entre colchetes [assim] devem ser preenchidos pela Unidade de Execução.</w:t>
      </w:r>
    </w:p>
    <w:p w14:paraId="01820EB5" w14:textId="77777777" w:rsidR="0022606C" w:rsidRDefault="0022606C" w:rsidP="0022606C"/>
    <w:p w14:paraId="757AE362" w14:textId="77777777" w:rsidR="0022606C" w:rsidRDefault="0022606C" w:rsidP="0022606C">
      <w:pPr>
        <w:pStyle w:val="NormalWeb"/>
        <w:spacing w:before="0" w:beforeAutospacing="0" w:after="0" w:afterAutospacing="0"/>
        <w:jc w:val="both"/>
      </w:pPr>
      <w:r>
        <w:rPr>
          <w:color w:val="FF0000"/>
        </w:rPr>
        <w:t>O(A) DIRETOR(A)/CHEFE DO(A) [NOME DA UNIDADE DE EXECUÇÃO]</w:t>
      </w:r>
      <w:r>
        <w:rPr>
          <w:color w:val="000000"/>
        </w:rPr>
        <w:t xml:space="preserve"> da Universidade Federal do Oeste da Bahia - UFOB, no uso de suas atribuições legais, e tendo em vista o disposto no Decreto nº 11.072, de 17 de maio de 2022, na INSTRUÇÃO NORMATIVA CONJUNTA SEGES-SGPRT/MGI Nº 24/2023 e suas atualizações, na PORTARIA UFOB Nº 668, DE 22 DE MAIO DE 2026, e na PORTARIA DE INSTITUIÇÃO DO PGD Nº </w:t>
      </w:r>
      <w:r>
        <w:rPr>
          <w:color w:val="FF0000"/>
        </w:rPr>
        <w:t>[NÚMERO DA PORTARIA DA UNIDADE</w:t>
      </w:r>
      <w:r>
        <w:rPr>
          <w:color w:val="000000"/>
        </w:rPr>
        <w:t>], resolve tornar público o Processo Seletivo em Fluxo Contínuo para adesão dos (as) Servidores (as) ao Programa de Gestão e Desempenho - PGD, conforme aprovado pela Câmara de Gestão Administrativa e Governança CGAG em sua 13ª Reunião Extraordinária, realizada em 3 de setembro de 2026, por meio do ATO DECISÓRIO CGAG/CONSUNI/UFOB Nº 050, DE 3 DE SETEMBRO DE 2026.</w:t>
      </w:r>
    </w:p>
    <w:p w14:paraId="06721833" w14:textId="77777777" w:rsidR="0022606C" w:rsidRDefault="0022606C" w:rsidP="0022606C">
      <w:pPr>
        <w:pStyle w:val="Ttulo1"/>
        <w:jc w:val="both"/>
      </w:pPr>
      <w:r>
        <w:rPr>
          <w:color w:val="000000"/>
          <w:sz w:val="24"/>
          <w:szCs w:val="24"/>
        </w:rPr>
        <w:t>1. DAS DISPOSIÇÕES PRELIMINARES E DO FLUXO CONTÍNUO</w:t>
      </w:r>
    </w:p>
    <w:p w14:paraId="62170343" w14:textId="77777777" w:rsidR="0022606C" w:rsidRDefault="0022606C" w:rsidP="0022606C">
      <w:pPr>
        <w:pStyle w:val="NormalWeb"/>
        <w:spacing w:before="0" w:beforeAutospacing="0" w:after="0" w:afterAutospacing="0"/>
        <w:jc w:val="both"/>
      </w:pPr>
      <w:r>
        <w:rPr>
          <w:color w:val="000000"/>
        </w:rPr>
        <w:t>1.1. O presente Edital tem por objetivo tornar público o processo seletivo para o desenvolvimento de atividades nas modalidades presencial e teletrabalho, considerando teletrabalho o trabalho realizado fora das dependências físicas da instituição, mediante utilização de tecnologias de informação e comunicação.</w:t>
      </w:r>
    </w:p>
    <w:p w14:paraId="27E51E06" w14:textId="77777777" w:rsidR="0022606C" w:rsidRDefault="0022606C" w:rsidP="0022606C"/>
    <w:p w14:paraId="1BBD8940" w14:textId="77777777" w:rsidR="0022606C" w:rsidRDefault="0022606C" w:rsidP="0022606C">
      <w:pPr>
        <w:pStyle w:val="NormalWeb"/>
        <w:spacing w:before="0" w:beforeAutospacing="0" w:after="0" w:afterAutospacing="0"/>
        <w:jc w:val="both"/>
      </w:pPr>
      <w:r>
        <w:rPr>
          <w:color w:val="000000"/>
        </w:rPr>
        <w:t>1.2. A seleção será realizada na modalidade de fluxo contínuo, mantendo-se o cadastro e o recebimento de inscrições permanentemente abertos para solicitações de ingresso ou de alteração de modalidade ou regime de execução, conforme disponibilidade de vagas e interesse da Administração.</w:t>
      </w:r>
    </w:p>
    <w:p w14:paraId="51471126" w14:textId="77777777" w:rsidR="0022606C" w:rsidRDefault="0022606C" w:rsidP="0022606C"/>
    <w:p w14:paraId="2E69C1C9" w14:textId="77777777" w:rsidR="0022606C" w:rsidRDefault="0022606C" w:rsidP="0022606C">
      <w:pPr>
        <w:pStyle w:val="NormalWeb"/>
        <w:spacing w:before="0" w:beforeAutospacing="0" w:after="0" w:afterAutospacing="0"/>
        <w:jc w:val="both"/>
      </w:pPr>
      <w:r>
        <w:rPr>
          <w:color w:val="000000"/>
        </w:rPr>
        <w:t>1.3. O processo de seleção em fluxo contínuo observará a realização do Estudo de Dimensionamento da Força de Trabalho DFT prévio e o cumprimento do Plano de Entregas da Unidade de Execução, em estrita consonância com os normativos vigentes da UFOB.</w:t>
      </w:r>
    </w:p>
    <w:p w14:paraId="2A3C13D6" w14:textId="77777777" w:rsidR="0022606C" w:rsidRDefault="0022606C" w:rsidP="0022606C">
      <w:pPr>
        <w:pStyle w:val="Ttulo1"/>
        <w:jc w:val="both"/>
      </w:pPr>
      <w:r>
        <w:rPr>
          <w:color w:val="000000"/>
          <w:sz w:val="24"/>
          <w:szCs w:val="24"/>
        </w:rPr>
        <w:lastRenderedPageBreak/>
        <w:t>2. DAS MODALIDADES E DOS REGIMES DE EXECUÇÃO</w:t>
      </w:r>
    </w:p>
    <w:p w14:paraId="5DD1CE16" w14:textId="77777777" w:rsidR="0022606C" w:rsidRDefault="0022606C" w:rsidP="0022606C">
      <w:pPr>
        <w:pStyle w:val="NormalWeb"/>
        <w:spacing w:before="0" w:beforeAutospacing="0" w:after="0" w:afterAutospacing="0"/>
        <w:jc w:val="both"/>
      </w:pPr>
      <w:r>
        <w:rPr>
          <w:color w:val="000000"/>
        </w:rPr>
        <w:t>2.1. Modalidade presencial: modalidade de trabalho em que a jornada regular do participante é desenvolvida integralmente nas dependências físicas da UFOB, dispensado do controle eletrônico de frequência e submetido ao registro de comparecimento.</w:t>
      </w:r>
    </w:p>
    <w:p w14:paraId="54DBF78F" w14:textId="77777777" w:rsidR="0022606C" w:rsidRDefault="0022606C" w:rsidP="0022606C"/>
    <w:p w14:paraId="15B5136D" w14:textId="77777777" w:rsidR="0022606C" w:rsidRDefault="0022606C" w:rsidP="0022606C">
      <w:pPr>
        <w:pStyle w:val="NormalWeb"/>
        <w:spacing w:before="0" w:beforeAutospacing="0" w:after="0" w:afterAutospacing="0"/>
        <w:jc w:val="both"/>
      </w:pPr>
      <w:r>
        <w:rPr>
          <w:color w:val="000000"/>
        </w:rPr>
        <w:t>2.2. Modalidade teletrabalho: a execução do trabalho é realizada fora das dependências físicas da UFOB nas seguintes formas de regime:</w:t>
      </w:r>
    </w:p>
    <w:p w14:paraId="5EB6F458" w14:textId="77777777" w:rsidR="0022606C" w:rsidRDefault="0022606C" w:rsidP="0022606C"/>
    <w:p w14:paraId="2BC8B334" w14:textId="77777777" w:rsidR="0022606C" w:rsidRDefault="0022606C" w:rsidP="0022606C">
      <w:pPr>
        <w:pStyle w:val="NormalWeb"/>
        <w:spacing w:before="0" w:beforeAutospacing="0" w:after="0" w:afterAutospacing="0"/>
        <w:jc w:val="both"/>
      </w:pPr>
      <w:r>
        <w:rPr>
          <w:color w:val="000000"/>
        </w:rPr>
        <w:t>2.2.1. Regime de execução parcial: quando parte da jornada regular é executada de forma remota e parte nas dependências físicas da UFOB, com mínimo de 20% (vinte por cento) e máximo de 80% (oitenta por cento) da carga horária no teletrabalho, com implementação gradual superior a 40% (quarenta por cento) conforme regras da PORTARIA UFOB Nº 668/2026.</w:t>
      </w:r>
    </w:p>
    <w:p w14:paraId="4D8FA68F" w14:textId="77777777" w:rsidR="0022606C" w:rsidRDefault="0022606C" w:rsidP="0022606C"/>
    <w:p w14:paraId="1AF59F88" w14:textId="77777777" w:rsidR="0022606C" w:rsidRDefault="0022606C" w:rsidP="0022606C">
      <w:pPr>
        <w:pStyle w:val="NormalWeb"/>
        <w:spacing w:before="0" w:beforeAutospacing="0" w:after="0" w:afterAutospacing="0"/>
        <w:jc w:val="both"/>
      </w:pPr>
      <w:r>
        <w:rPr>
          <w:color w:val="000000"/>
        </w:rPr>
        <w:t>2.2.2. Regime de execução integral: quando a totalidade da jornada de trabalho ocorre de forma remota, em caráter de excepcionalidade, no prazo de até 12 (doze) meses, prorrogável, exigindo justificativa demonstrando o interesse da Administração do(a) dirigente máximo(a) da unidade e autorização expressa do(a) Reitor(a), nos termos do art. 13 da PORTARIA UFOB Nº 668/2026.</w:t>
      </w:r>
    </w:p>
    <w:p w14:paraId="5BF5E73E" w14:textId="77777777" w:rsidR="0022606C" w:rsidRDefault="0022606C" w:rsidP="0022606C">
      <w:pPr>
        <w:pStyle w:val="Ttulo1"/>
        <w:jc w:val="both"/>
      </w:pPr>
      <w:r>
        <w:rPr>
          <w:color w:val="000000"/>
          <w:sz w:val="24"/>
          <w:szCs w:val="24"/>
        </w:rPr>
        <w:t>3. DOS REQUISITOS E EXIGÊNCIAS PARA CANDIDATURA</w:t>
      </w:r>
    </w:p>
    <w:p w14:paraId="03B51044" w14:textId="77777777" w:rsidR="0022606C" w:rsidRDefault="0022606C" w:rsidP="0022606C">
      <w:pPr>
        <w:pStyle w:val="NormalWeb"/>
        <w:spacing w:before="0" w:beforeAutospacing="0" w:after="0" w:afterAutospacing="0"/>
        <w:jc w:val="both"/>
      </w:pPr>
      <w:r>
        <w:rPr>
          <w:color w:val="000000"/>
        </w:rPr>
        <w:t>3.1. Nos termos do art. 1º, § 6º, e dos arts. 8º, 11 e 12 da PORTARIA UFOB Nº 668/2026, poderão se candidatar ao PGD os seguintes agentes públicos da UFOB:</w:t>
      </w:r>
    </w:p>
    <w:p w14:paraId="543DB2E7" w14:textId="77777777" w:rsidR="0022606C" w:rsidRDefault="0022606C" w:rsidP="0022606C">
      <w:r>
        <w:br/>
      </w:r>
    </w:p>
    <w:p w14:paraId="5E053C94" w14:textId="77777777" w:rsidR="0022606C" w:rsidRDefault="0022606C" w:rsidP="0022606C">
      <w:pPr>
        <w:pStyle w:val="NormalWeb"/>
        <w:numPr>
          <w:ilvl w:val="0"/>
          <w:numId w:val="7"/>
        </w:numPr>
        <w:spacing w:before="0" w:beforeAutospacing="0" w:after="0" w:afterAutospacing="0"/>
        <w:jc w:val="both"/>
        <w:textAlignment w:val="baseline"/>
        <w:rPr>
          <w:rFonts w:ascii="Inter" w:hAnsi="Inter"/>
          <w:color w:val="2D3748"/>
          <w:sz w:val="22"/>
          <w:szCs w:val="22"/>
        </w:rPr>
      </w:pPr>
      <w:r>
        <w:rPr>
          <w:color w:val="000000"/>
        </w:rPr>
        <w:t>Pessoa servidora técnico-administrativa em educação ocupante de cargo efetivo (Lei nº 8.112/1990), ocupante ou não de função gratificada ou cargo de direção nível IV;</w:t>
      </w:r>
    </w:p>
    <w:p w14:paraId="09F1F2DA" w14:textId="77777777" w:rsidR="0022606C" w:rsidRDefault="0022606C" w:rsidP="0022606C">
      <w:pPr>
        <w:pStyle w:val="NormalWeb"/>
        <w:numPr>
          <w:ilvl w:val="0"/>
          <w:numId w:val="7"/>
        </w:numPr>
        <w:spacing w:before="0" w:beforeAutospacing="0" w:after="0" w:afterAutospacing="0"/>
        <w:jc w:val="both"/>
        <w:textAlignment w:val="baseline"/>
        <w:rPr>
          <w:rFonts w:ascii="Inter" w:hAnsi="Inter"/>
          <w:color w:val="2D3748"/>
          <w:sz w:val="22"/>
          <w:szCs w:val="22"/>
        </w:rPr>
      </w:pPr>
      <w:r>
        <w:rPr>
          <w:color w:val="000000"/>
        </w:rPr>
        <w:t>Pessoa empregada pública em exercício na UFOB;</w:t>
      </w:r>
    </w:p>
    <w:p w14:paraId="21FE5D0E" w14:textId="77777777" w:rsidR="0022606C" w:rsidRDefault="0022606C" w:rsidP="0022606C">
      <w:pPr>
        <w:pStyle w:val="NormalWeb"/>
        <w:numPr>
          <w:ilvl w:val="0"/>
          <w:numId w:val="7"/>
        </w:numPr>
        <w:spacing w:before="0" w:beforeAutospacing="0" w:after="0" w:afterAutospacing="0"/>
        <w:jc w:val="both"/>
        <w:textAlignment w:val="baseline"/>
        <w:rPr>
          <w:rFonts w:ascii="Inter" w:hAnsi="Inter"/>
          <w:color w:val="2D3748"/>
          <w:sz w:val="22"/>
          <w:szCs w:val="22"/>
        </w:rPr>
      </w:pPr>
      <w:r>
        <w:rPr>
          <w:color w:val="000000"/>
        </w:rPr>
        <w:t>Pessoa servidora técnico-administrativa contratada por tempo determinado (Lei nº 8.745/1993).</w:t>
      </w:r>
    </w:p>
    <w:p w14:paraId="36449CFB" w14:textId="77777777" w:rsidR="0022606C" w:rsidRDefault="0022606C" w:rsidP="0022606C">
      <w:pPr>
        <w:rPr>
          <w:rFonts w:ascii="Times New Roman" w:hAnsi="Times New Roman"/>
          <w:sz w:val="24"/>
          <w:szCs w:val="24"/>
        </w:rPr>
      </w:pPr>
    </w:p>
    <w:p w14:paraId="01471A2F" w14:textId="77777777" w:rsidR="0022606C" w:rsidRDefault="0022606C" w:rsidP="0022606C">
      <w:pPr>
        <w:pStyle w:val="NormalWeb"/>
        <w:spacing w:before="0" w:beforeAutospacing="0" w:after="0" w:afterAutospacing="0"/>
        <w:jc w:val="both"/>
      </w:pPr>
      <w:r>
        <w:rPr>
          <w:color w:val="000000"/>
        </w:rPr>
        <w:t>3.2. Constituem requisitos e exigências obrigatórias para a participação no PGD (art. 8º, 11 e 12 da PORTARIA UFOB Nº 668/2026):</w:t>
      </w:r>
    </w:p>
    <w:p w14:paraId="1FC43E1D" w14:textId="77777777" w:rsidR="0022606C" w:rsidRDefault="0022606C" w:rsidP="0022606C"/>
    <w:p w14:paraId="468FAB7D" w14:textId="77777777" w:rsidR="0022606C" w:rsidRDefault="0022606C" w:rsidP="0022606C">
      <w:pPr>
        <w:pStyle w:val="NormalWeb"/>
        <w:spacing w:before="0" w:beforeAutospacing="0" w:after="0" w:afterAutospacing="0"/>
        <w:ind w:firstLine="720"/>
        <w:jc w:val="both"/>
      </w:pPr>
      <w:r>
        <w:rPr>
          <w:color w:val="000000"/>
        </w:rPr>
        <w:t>3.2.1. Estar vinculado(a) a unidade/órgão que tenha realizado o Dimensionamento da Força de Trabalho - DFT;</w:t>
      </w:r>
    </w:p>
    <w:p w14:paraId="10B2AE4C" w14:textId="77777777" w:rsidR="0022606C" w:rsidRDefault="0022606C" w:rsidP="0022606C">
      <w:pPr>
        <w:pStyle w:val="NormalWeb"/>
        <w:spacing w:before="0" w:beforeAutospacing="0" w:after="0" w:afterAutospacing="0"/>
        <w:ind w:firstLine="720"/>
        <w:jc w:val="both"/>
      </w:pPr>
      <w:r>
        <w:rPr>
          <w:color w:val="000000"/>
        </w:rPr>
        <w:t>3.2.2. Ter cumprido no mínimo 18 (dezoito) meses do estágio probatório, considerado o efetivo exercício no cargo, para ingressar na modalidade teletrabalho;</w:t>
      </w:r>
    </w:p>
    <w:p w14:paraId="31D5472B" w14:textId="77777777" w:rsidR="0022606C" w:rsidRDefault="0022606C" w:rsidP="0022606C">
      <w:pPr>
        <w:pStyle w:val="NormalWeb"/>
        <w:spacing w:before="0" w:beforeAutospacing="0" w:after="0" w:afterAutospacing="0"/>
        <w:ind w:firstLine="720"/>
        <w:jc w:val="both"/>
      </w:pPr>
      <w:r>
        <w:rPr>
          <w:color w:val="000000"/>
        </w:rPr>
        <w:t>3.2.3. Cumprir o interstício de 6 (seis) meses de efetivo exercício na UFOB no caso de movimentação recente entre órgãos/entidades para ingresso na modalidade teletrabalho, ressalvada a exceção do parágrafo único do art. 12 da PORTARIA UFOB Nº 668/2026;</w:t>
      </w:r>
    </w:p>
    <w:p w14:paraId="5E1800E1" w14:textId="77777777" w:rsidR="0022606C" w:rsidRDefault="0022606C" w:rsidP="0022606C">
      <w:pPr>
        <w:pStyle w:val="NormalWeb"/>
        <w:spacing w:before="0" w:beforeAutospacing="0" w:after="0" w:afterAutospacing="0"/>
        <w:ind w:firstLine="720"/>
        <w:jc w:val="both"/>
      </w:pPr>
      <w:r>
        <w:rPr>
          <w:color w:val="000000"/>
        </w:rPr>
        <w:t>3.2.4. Formalizar o Plano de Trabalho pactuado com a chefia imediata e assinar o Termo de Ciência e Responsabilidade - TCR;</w:t>
      </w:r>
    </w:p>
    <w:p w14:paraId="59E6A3C9" w14:textId="77777777" w:rsidR="0022606C" w:rsidRDefault="0022606C" w:rsidP="0022606C">
      <w:pPr>
        <w:pStyle w:val="NormalWeb"/>
        <w:spacing w:before="0" w:beforeAutospacing="0" w:after="0" w:afterAutospacing="0"/>
        <w:ind w:firstLine="720"/>
        <w:jc w:val="both"/>
      </w:pPr>
      <w:r>
        <w:rPr>
          <w:color w:val="000000"/>
        </w:rPr>
        <w:lastRenderedPageBreak/>
        <w:t>3.2.5. Comprovar a realização, com certificação, de curso(s) de formação sobre fundamentos do PGD e elaboração de planos de entrega/trabalho ofertados por Escolas de Governo ou instituições de educação.</w:t>
      </w:r>
    </w:p>
    <w:p w14:paraId="00262D04" w14:textId="77777777" w:rsidR="0022606C" w:rsidRDefault="0022606C" w:rsidP="0022606C"/>
    <w:p w14:paraId="5399A182" w14:textId="77777777" w:rsidR="0022606C" w:rsidRDefault="0022606C" w:rsidP="0022606C">
      <w:pPr>
        <w:pStyle w:val="NormalWeb"/>
        <w:spacing w:before="0" w:beforeAutospacing="0" w:after="0" w:afterAutospacing="0"/>
        <w:jc w:val="both"/>
      </w:pPr>
      <w:r>
        <w:rPr>
          <w:color w:val="000000"/>
        </w:rPr>
        <w:t xml:space="preserve">3.3. </w:t>
      </w:r>
      <w:r>
        <w:rPr>
          <w:b/>
          <w:bCs/>
          <w:color w:val="000000"/>
        </w:rPr>
        <w:t>Vedações à Participação:</w:t>
      </w:r>
      <w:r>
        <w:rPr>
          <w:color w:val="000000"/>
        </w:rPr>
        <w:t xml:space="preserve"> É vedada a participação no PGD ao(à) servidor(a) que:</w:t>
      </w:r>
    </w:p>
    <w:p w14:paraId="47D5D4C4" w14:textId="77777777" w:rsidR="0022606C" w:rsidRDefault="0022606C" w:rsidP="0022606C"/>
    <w:p w14:paraId="71503193" w14:textId="77777777" w:rsidR="0022606C" w:rsidRDefault="0022606C" w:rsidP="0022606C">
      <w:pPr>
        <w:pStyle w:val="NormalWeb"/>
        <w:spacing w:before="0" w:beforeAutospacing="0" w:after="0" w:afterAutospacing="0"/>
        <w:ind w:firstLine="480"/>
        <w:jc w:val="both"/>
      </w:pPr>
      <w:r>
        <w:rPr>
          <w:color w:val="000000"/>
        </w:rPr>
        <w:t>3.3.1. Execute atividades técnicas incompatíveis com a realização do teletrabalho ou cuja presença física seja obrigatória em todas as atividades;</w:t>
      </w:r>
    </w:p>
    <w:p w14:paraId="2C8AD475" w14:textId="77777777" w:rsidR="0022606C" w:rsidRDefault="0022606C" w:rsidP="0022606C">
      <w:pPr>
        <w:pStyle w:val="NormalWeb"/>
        <w:spacing w:before="0" w:beforeAutospacing="0" w:after="0" w:afterAutospacing="0"/>
        <w:ind w:firstLine="480"/>
        <w:jc w:val="both"/>
      </w:pPr>
      <w:r>
        <w:rPr>
          <w:color w:val="000000"/>
        </w:rPr>
        <w:t>3.3.2. Cumpra jornada flexibilizada de 6 (seis) horas diárias decorrente de atendimento ininterrupto ao público, conforme art. 3º do Decreto nº 1.590/1995;</w:t>
      </w:r>
    </w:p>
    <w:p w14:paraId="65055050" w14:textId="77777777" w:rsidR="0022606C" w:rsidRDefault="0022606C" w:rsidP="0022606C">
      <w:pPr>
        <w:pStyle w:val="NormalWeb"/>
        <w:spacing w:before="0" w:beforeAutospacing="0" w:after="0" w:afterAutospacing="0"/>
        <w:ind w:firstLine="480"/>
        <w:jc w:val="both"/>
      </w:pPr>
      <w:r>
        <w:rPr>
          <w:color w:val="000000"/>
        </w:rPr>
        <w:t>3.3.3. Esteja aderente ao regime de banco de horas.</w:t>
      </w:r>
    </w:p>
    <w:p w14:paraId="17E6F5AA" w14:textId="77777777" w:rsidR="0022606C" w:rsidRDefault="0022606C" w:rsidP="0022606C"/>
    <w:p w14:paraId="126B441E" w14:textId="77777777" w:rsidR="0022606C" w:rsidRDefault="0022606C" w:rsidP="0022606C">
      <w:pPr>
        <w:pStyle w:val="NormalWeb"/>
        <w:spacing w:before="0" w:beforeAutospacing="0" w:after="0" w:afterAutospacing="0"/>
        <w:jc w:val="both"/>
      </w:pPr>
      <w:r>
        <w:rPr>
          <w:color w:val="000000"/>
        </w:rPr>
        <w:t>3.4. Servidores que recebam adicionais ocupacionais (insalubridade, periculosidade, irradiação ionizante ou raios "X") somente farão jus ao pagamento na modalidade presencial ou no teletrabalho em regime de execução parcial, desde que expostos por período igual ou superior à metade da carga horária pactuada, perdendo o direito se em teletrabalho integral.</w:t>
      </w:r>
    </w:p>
    <w:p w14:paraId="3820DFB5" w14:textId="77777777" w:rsidR="0022606C" w:rsidRDefault="0022606C" w:rsidP="0022606C">
      <w:pPr>
        <w:pStyle w:val="Ttulo1"/>
        <w:jc w:val="both"/>
      </w:pPr>
      <w:r>
        <w:rPr>
          <w:color w:val="000000"/>
          <w:sz w:val="24"/>
          <w:szCs w:val="24"/>
        </w:rPr>
        <w:t>4. DA INFRAESTRUTURA MÍNIMA E DAS CONDIÇÕES NECESSÁRIAS</w:t>
      </w:r>
    </w:p>
    <w:p w14:paraId="6032EE0E" w14:textId="77777777" w:rsidR="0022606C" w:rsidRDefault="0022606C" w:rsidP="0022606C">
      <w:pPr>
        <w:pStyle w:val="NormalWeb"/>
        <w:spacing w:before="0" w:beforeAutospacing="0" w:after="0" w:afterAutospacing="0"/>
        <w:jc w:val="both"/>
      </w:pPr>
      <w:r>
        <w:rPr>
          <w:color w:val="000000"/>
        </w:rPr>
        <w:t>4.1. O participante no PGD deverá prover e custear a infraestrutura física e tecnológica necessária e suficiente para a execução do seu Plano de Trabalho na modalidade teletrabalho, mediante equipamentos e mobiliários ergonômicos, arcando com internet, energia elétrica e telefonia.</w:t>
      </w:r>
    </w:p>
    <w:p w14:paraId="1CE37DFB" w14:textId="77777777" w:rsidR="0022606C" w:rsidRDefault="0022606C" w:rsidP="0022606C"/>
    <w:p w14:paraId="5E64D96D" w14:textId="77777777" w:rsidR="0022606C" w:rsidRDefault="0022606C" w:rsidP="0022606C">
      <w:pPr>
        <w:pStyle w:val="NormalWeb"/>
        <w:spacing w:before="0" w:beforeAutospacing="0" w:after="0" w:afterAutospacing="0"/>
        <w:jc w:val="both"/>
      </w:pPr>
      <w:r>
        <w:rPr>
          <w:color w:val="000000"/>
        </w:rPr>
        <w:t>4.2. Em nenhuma hipótese haverá ressarcimento por parte da UFOB quanto aos gastos para montagem e manutenção da infraestrutura necessária ao teletrabalho, nem a adoção do PGD poderá implicar aumento de despesa para a instituição.</w:t>
      </w:r>
    </w:p>
    <w:p w14:paraId="5DF6233B" w14:textId="77777777" w:rsidR="0022606C" w:rsidRDefault="0022606C" w:rsidP="0022606C"/>
    <w:p w14:paraId="46B27935" w14:textId="77777777" w:rsidR="0022606C" w:rsidRDefault="0022606C" w:rsidP="0022606C">
      <w:pPr>
        <w:pStyle w:val="NormalWeb"/>
        <w:spacing w:before="0" w:beforeAutospacing="0" w:after="0" w:afterAutospacing="0"/>
        <w:jc w:val="both"/>
      </w:pPr>
      <w:r>
        <w:rPr>
          <w:color w:val="000000"/>
        </w:rPr>
        <w:t>4.3. O participante deverá permanecer disponível para contato durante o horário de funcionamento da unidade, pelos meios de comunicação informados, mantendo atualizado contatos de livre divulgação.</w:t>
      </w:r>
    </w:p>
    <w:p w14:paraId="47E0B9E0" w14:textId="77777777" w:rsidR="0022606C" w:rsidRDefault="0022606C" w:rsidP="0022606C">
      <w:pPr>
        <w:pStyle w:val="Ttulo1"/>
        <w:jc w:val="both"/>
      </w:pPr>
      <w:r>
        <w:rPr>
          <w:color w:val="000000"/>
          <w:sz w:val="24"/>
          <w:szCs w:val="24"/>
        </w:rPr>
        <w:t>5. DAS VAGAS DISPONÍVEIS E SISTEMA DE REVEZAMENTO</w:t>
      </w:r>
    </w:p>
    <w:p w14:paraId="13479521" w14:textId="77777777" w:rsidR="0022606C" w:rsidRDefault="0022606C" w:rsidP="0022606C">
      <w:pPr>
        <w:pStyle w:val="NormalWeb"/>
        <w:spacing w:before="0" w:beforeAutospacing="0" w:after="0" w:afterAutospacing="0"/>
        <w:jc w:val="both"/>
      </w:pPr>
      <w:r>
        <w:rPr>
          <w:color w:val="000000"/>
        </w:rPr>
        <w:t>5.1. O quantitativo de vagas por modalidade obedece ao planejamento da unidade:</w:t>
      </w:r>
    </w:p>
    <w:p w14:paraId="3C30C2CB" w14:textId="77777777" w:rsidR="0022606C" w:rsidRDefault="0022606C" w:rsidP="0022606C"/>
    <w:tbl>
      <w:tblPr>
        <w:tblW w:w="0" w:type="auto"/>
        <w:tblCellMar>
          <w:top w:w="15" w:type="dxa"/>
          <w:left w:w="15" w:type="dxa"/>
          <w:bottom w:w="15" w:type="dxa"/>
          <w:right w:w="15" w:type="dxa"/>
        </w:tblCellMar>
        <w:tblLook w:val="04A0" w:firstRow="1" w:lastRow="0" w:firstColumn="1" w:lastColumn="0" w:noHBand="0" w:noVBand="1"/>
      </w:tblPr>
      <w:tblGrid>
        <w:gridCol w:w="2651"/>
        <w:gridCol w:w="2581"/>
        <w:gridCol w:w="3843"/>
      </w:tblGrid>
      <w:tr w:rsidR="0022606C" w14:paraId="5196FDC5" w14:textId="77777777" w:rsidTr="0022606C">
        <w:trPr>
          <w:tblHeader/>
        </w:trPr>
        <w:tc>
          <w:tcPr>
            <w:tcW w:w="0" w:type="auto"/>
            <w:tcBorders>
              <w:top w:val="single" w:sz="8" w:space="0" w:color="D1D5DB"/>
              <w:bottom w:val="single" w:sz="8" w:space="0" w:color="E5E7EB"/>
            </w:tcBorders>
            <w:shd w:val="clear" w:color="auto" w:fill="F3F4F6"/>
            <w:tcMar>
              <w:top w:w="120" w:type="dxa"/>
              <w:left w:w="160" w:type="dxa"/>
              <w:bottom w:w="120" w:type="dxa"/>
              <w:right w:w="160" w:type="dxa"/>
            </w:tcMar>
            <w:vAlign w:val="center"/>
            <w:hideMark/>
          </w:tcPr>
          <w:p w14:paraId="35ADBB3D" w14:textId="77777777" w:rsidR="0022606C" w:rsidRDefault="0022606C">
            <w:pPr>
              <w:pStyle w:val="NormalWeb"/>
              <w:spacing w:before="0" w:beforeAutospacing="0" w:after="0" w:afterAutospacing="0"/>
              <w:jc w:val="both"/>
              <w:rPr>
                <w:b/>
                <w:bCs/>
              </w:rPr>
            </w:pPr>
            <w:r>
              <w:rPr>
                <w:b/>
                <w:bCs/>
                <w:color w:val="000000"/>
                <w:sz w:val="20"/>
                <w:szCs w:val="20"/>
              </w:rPr>
              <w:t>Unidade / Setor</w:t>
            </w:r>
          </w:p>
        </w:tc>
        <w:tc>
          <w:tcPr>
            <w:tcW w:w="0" w:type="auto"/>
            <w:tcBorders>
              <w:top w:val="single" w:sz="8" w:space="0" w:color="D1D5DB"/>
              <w:bottom w:val="single" w:sz="8" w:space="0" w:color="E5E7EB"/>
            </w:tcBorders>
            <w:shd w:val="clear" w:color="auto" w:fill="F3F4F6"/>
            <w:tcMar>
              <w:top w:w="120" w:type="dxa"/>
              <w:left w:w="160" w:type="dxa"/>
              <w:bottom w:w="120" w:type="dxa"/>
              <w:right w:w="160" w:type="dxa"/>
            </w:tcMar>
            <w:vAlign w:val="center"/>
            <w:hideMark/>
          </w:tcPr>
          <w:p w14:paraId="64F4F6AA" w14:textId="77777777" w:rsidR="0022606C" w:rsidRDefault="0022606C">
            <w:pPr>
              <w:pStyle w:val="NormalWeb"/>
              <w:spacing w:before="0" w:beforeAutospacing="0" w:after="0" w:afterAutospacing="0"/>
              <w:jc w:val="both"/>
              <w:rPr>
                <w:b/>
                <w:bCs/>
              </w:rPr>
            </w:pPr>
            <w:r>
              <w:rPr>
                <w:b/>
                <w:bCs/>
                <w:color w:val="000000"/>
                <w:sz w:val="20"/>
                <w:szCs w:val="20"/>
              </w:rPr>
              <w:t>Modalidade e Regime de Execução</w:t>
            </w:r>
          </w:p>
        </w:tc>
        <w:tc>
          <w:tcPr>
            <w:tcW w:w="0" w:type="auto"/>
            <w:tcBorders>
              <w:top w:val="single" w:sz="8" w:space="0" w:color="D1D5DB"/>
              <w:bottom w:val="single" w:sz="8" w:space="0" w:color="E5E7EB"/>
            </w:tcBorders>
            <w:shd w:val="clear" w:color="auto" w:fill="F3F4F6"/>
            <w:tcMar>
              <w:top w:w="120" w:type="dxa"/>
              <w:left w:w="160" w:type="dxa"/>
              <w:bottom w:w="120" w:type="dxa"/>
              <w:right w:w="160" w:type="dxa"/>
            </w:tcMar>
            <w:vAlign w:val="center"/>
            <w:hideMark/>
          </w:tcPr>
          <w:p w14:paraId="24A7B9FE" w14:textId="77777777" w:rsidR="0022606C" w:rsidRDefault="0022606C">
            <w:pPr>
              <w:pStyle w:val="NormalWeb"/>
              <w:spacing w:before="0" w:beforeAutospacing="0" w:after="0" w:afterAutospacing="0"/>
              <w:jc w:val="both"/>
              <w:rPr>
                <w:b/>
                <w:bCs/>
              </w:rPr>
            </w:pPr>
            <w:r>
              <w:rPr>
                <w:b/>
                <w:bCs/>
                <w:color w:val="000000"/>
                <w:sz w:val="20"/>
                <w:szCs w:val="20"/>
              </w:rPr>
              <w:t>Vagas/Percentual Limite</w:t>
            </w:r>
          </w:p>
        </w:tc>
      </w:tr>
      <w:tr w:rsidR="0022606C" w14:paraId="2EC3012C" w14:textId="77777777" w:rsidTr="0022606C">
        <w:tc>
          <w:tcPr>
            <w:tcW w:w="0" w:type="auto"/>
            <w:tcBorders>
              <w:top w:val="single" w:sz="8" w:space="0" w:color="E5E7EB"/>
              <w:bottom w:val="single" w:sz="8" w:space="0" w:color="E5E7EB"/>
            </w:tcBorders>
            <w:shd w:val="clear" w:color="auto" w:fill="FFFFFF"/>
            <w:tcMar>
              <w:top w:w="120" w:type="dxa"/>
              <w:left w:w="160" w:type="dxa"/>
              <w:bottom w:w="120" w:type="dxa"/>
              <w:right w:w="160" w:type="dxa"/>
            </w:tcMar>
            <w:vAlign w:val="center"/>
            <w:hideMark/>
          </w:tcPr>
          <w:p w14:paraId="289246C2" w14:textId="77777777" w:rsidR="0022606C" w:rsidRDefault="0022606C">
            <w:pPr>
              <w:pStyle w:val="NormalWeb"/>
              <w:spacing w:before="0" w:beforeAutospacing="0" w:after="0" w:afterAutospacing="0"/>
              <w:jc w:val="both"/>
            </w:pPr>
            <w:r>
              <w:rPr>
                <w:color w:val="FF0000"/>
                <w:sz w:val="20"/>
                <w:szCs w:val="20"/>
              </w:rPr>
              <w:t>[NOME DO SETOR/UNIDADE]</w:t>
            </w:r>
          </w:p>
        </w:tc>
        <w:tc>
          <w:tcPr>
            <w:tcW w:w="0" w:type="auto"/>
            <w:tcBorders>
              <w:top w:val="single" w:sz="8" w:space="0" w:color="E5E7EB"/>
              <w:bottom w:val="single" w:sz="8" w:space="0" w:color="E5E7EB"/>
            </w:tcBorders>
            <w:shd w:val="clear" w:color="auto" w:fill="FFFFFF"/>
            <w:tcMar>
              <w:top w:w="120" w:type="dxa"/>
              <w:left w:w="160" w:type="dxa"/>
              <w:bottom w:w="120" w:type="dxa"/>
              <w:right w:w="160" w:type="dxa"/>
            </w:tcMar>
            <w:vAlign w:val="center"/>
            <w:hideMark/>
          </w:tcPr>
          <w:p w14:paraId="0EB1524D" w14:textId="77777777" w:rsidR="0022606C" w:rsidRDefault="0022606C">
            <w:pPr>
              <w:pStyle w:val="NormalWeb"/>
              <w:spacing w:before="0" w:beforeAutospacing="0" w:after="0" w:afterAutospacing="0"/>
              <w:jc w:val="both"/>
            </w:pPr>
            <w:r>
              <w:rPr>
                <w:color w:val="000000"/>
                <w:sz w:val="20"/>
                <w:szCs w:val="20"/>
              </w:rPr>
              <w:t>Presencial (Integral)</w:t>
            </w:r>
          </w:p>
        </w:tc>
        <w:tc>
          <w:tcPr>
            <w:tcW w:w="0" w:type="auto"/>
            <w:tcBorders>
              <w:top w:val="single" w:sz="8" w:space="0" w:color="E5E7EB"/>
              <w:bottom w:val="single" w:sz="8" w:space="0" w:color="E5E7EB"/>
            </w:tcBorders>
            <w:shd w:val="clear" w:color="auto" w:fill="FFFFFF"/>
            <w:tcMar>
              <w:top w:w="120" w:type="dxa"/>
              <w:left w:w="160" w:type="dxa"/>
              <w:bottom w:w="120" w:type="dxa"/>
              <w:right w:w="160" w:type="dxa"/>
            </w:tcMar>
            <w:vAlign w:val="center"/>
            <w:hideMark/>
          </w:tcPr>
          <w:p w14:paraId="43AF14F0" w14:textId="77777777" w:rsidR="0022606C" w:rsidRDefault="0022606C">
            <w:pPr>
              <w:pStyle w:val="NormalWeb"/>
              <w:spacing w:before="0" w:beforeAutospacing="0" w:after="0" w:afterAutospacing="0"/>
              <w:jc w:val="both"/>
            </w:pPr>
            <w:r>
              <w:rPr>
                <w:color w:val="000000"/>
                <w:sz w:val="20"/>
                <w:szCs w:val="20"/>
              </w:rPr>
              <w:t xml:space="preserve">Até </w:t>
            </w:r>
            <w:r>
              <w:rPr>
                <w:color w:val="FF0000"/>
                <w:sz w:val="20"/>
                <w:szCs w:val="20"/>
              </w:rPr>
              <w:t xml:space="preserve">[X%, consoante portaria de instituição] </w:t>
            </w:r>
            <w:r>
              <w:rPr>
                <w:color w:val="000000"/>
                <w:sz w:val="20"/>
                <w:szCs w:val="20"/>
              </w:rPr>
              <w:t>dos servidores</w:t>
            </w:r>
          </w:p>
        </w:tc>
      </w:tr>
      <w:tr w:rsidR="0022606C" w14:paraId="3AEF59A1" w14:textId="77777777" w:rsidTr="0022606C">
        <w:tc>
          <w:tcPr>
            <w:tcW w:w="0" w:type="auto"/>
            <w:tcBorders>
              <w:top w:val="single" w:sz="8" w:space="0" w:color="E5E7EB"/>
              <w:bottom w:val="single" w:sz="8" w:space="0" w:color="D1D5DB"/>
            </w:tcBorders>
            <w:shd w:val="clear" w:color="auto" w:fill="FFFFFF"/>
            <w:tcMar>
              <w:top w:w="120" w:type="dxa"/>
              <w:left w:w="160" w:type="dxa"/>
              <w:bottom w:w="120" w:type="dxa"/>
              <w:right w:w="160" w:type="dxa"/>
            </w:tcMar>
            <w:vAlign w:val="center"/>
            <w:hideMark/>
          </w:tcPr>
          <w:p w14:paraId="0A10C17D" w14:textId="77777777" w:rsidR="0022606C" w:rsidRDefault="0022606C">
            <w:pPr>
              <w:pStyle w:val="NormalWeb"/>
              <w:spacing w:before="0" w:beforeAutospacing="0" w:after="0" w:afterAutospacing="0"/>
              <w:jc w:val="both"/>
            </w:pPr>
            <w:r>
              <w:rPr>
                <w:color w:val="FF0000"/>
                <w:sz w:val="20"/>
                <w:szCs w:val="20"/>
              </w:rPr>
              <w:t>[NOME DO SETOR/UNIDADE]</w:t>
            </w:r>
          </w:p>
        </w:tc>
        <w:tc>
          <w:tcPr>
            <w:tcW w:w="0" w:type="auto"/>
            <w:tcBorders>
              <w:top w:val="single" w:sz="8" w:space="0" w:color="E5E7EB"/>
              <w:bottom w:val="single" w:sz="8" w:space="0" w:color="D1D5DB"/>
            </w:tcBorders>
            <w:shd w:val="clear" w:color="auto" w:fill="FFFFFF"/>
            <w:tcMar>
              <w:top w:w="120" w:type="dxa"/>
              <w:left w:w="160" w:type="dxa"/>
              <w:bottom w:w="120" w:type="dxa"/>
              <w:right w:w="160" w:type="dxa"/>
            </w:tcMar>
            <w:vAlign w:val="center"/>
            <w:hideMark/>
          </w:tcPr>
          <w:p w14:paraId="3FDB9D58" w14:textId="77777777" w:rsidR="0022606C" w:rsidRDefault="0022606C">
            <w:pPr>
              <w:pStyle w:val="NormalWeb"/>
              <w:spacing w:before="0" w:beforeAutospacing="0" w:after="0" w:afterAutospacing="0"/>
              <w:jc w:val="both"/>
            </w:pPr>
            <w:r>
              <w:rPr>
                <w:color w:val="000000"/>
                <w:sz w:val="20"/>
                <w:szCs w:val="20"/>
              </w:rPr>
              <w:t>Teletrabalho (Regime Parcial)</w:t>
            </w:r>
          </w:p>
        </w:tc>
        <w:tc>
          <w:tcPr>
            <w:tcW w:w="0" w:type="auto"/>
            <w:tcBorders>
              <w:top w:val="single" w:sz="8" w:space="0" w:color="E5E7EB"/>
              <w:bottom w:val="single" w:sz="8" w:space="0" w:color="D1D5DB"/>
            </w:tcBorders>
            <w:shd w:val="clear" w:color="auto" w:fill="FFFFFF"/>
            <w:tcMar>
              <w:top w:w="120" w:type="dxa"/>
              <w:left w:w="160" w:type="dxa"/>
              <w:bottom w:w="120" w:type="dxa"/>
              <w:right w:w="160" w:type="dxa"/>
            </w:tcMar>
            <w:vAlign w:val="center"/>
            <w:hideMark/>
          </w:tcPr>
          <w:p w14:paraId="67301700" w14:textId="77777777" w:rsidR="0022606C" w:rsidRDefault="0022606C">
            <w:pPr>
              <w:pStyle w:val="NormalWeb"/>
              <w:spacing w:before="0" w:beforeAutospacing="0" w:after="0" w:afterAutospacing="0"/>
              <w:jc w:val="both"/>
            </w:pPr>
            <w:r>
              <w:rPr>
                <w:color w:val="000000"/>
                <w:sz w:val="20"/>
                <w:szCs w:val="20"/>
              </w:rPr>
              <w:t xml:space="preserve">Até </w:t>
            </w:r>
            <w:r>
              <w:rPr>
                <w:color w:val="FF0000"/>
                <w:sz w:val="20"/>
                <w:szCs w:val="20"/>
              </w:rPr>
              <w:t xml:space="preserve">[X%, consoante portaria de instituição] </w:t>
            </w:r>
            <w:r>
              <w:rPr>
                <w:color w:val="000000"/>
                <w:sz w:val="20"/>
                <w:szCs w:val="20"/>
              </w:rPr>
              <w:t>dos servidores</w:t>
            </w:r>
          </w:p>
        </w:tc>
      </w:tr>
    </w:tbl>
    <w:p w14:paraId="0B4E4E48" w14:textId="77777777" w:rsidR="0022606C" w:rsidRDefault="0022606C" w:rsidP="0022606C"/>
    <w:p w14:paraId="561DDCFF" w14:textId="77777777" w:rsidR="0022606C" w:rsidRDefault="0022606C" w:rsidP="0022606C">
      <w:pPr>
        <w:pStyle w:val="NormalWeb"/>
        <w:spacing w:before="0" w:beforeAutospacing="0" w:after="0" w:afterAutospacing="0"/>
        <w:jc w:val="both"/>
      </w:pPr>
      <w:r>
        <w:rPr>
          <w:color w:val="000000"/>
        </w:rPr>
        <w:lastRenderedPageBreak/>
        <w:t xml:space="preserve">5.2. </w:t>
      </w:r>
      <w:r>
        <w:rPr>
          <w:b/>
          <w:bCs/>
          <w:color w:val="000000"/>
        </w:rPr>
        <w:t>Do Revezamento entre Candidatos:</w:t>
      </w:r>
      <w:r>
        <w:rPr>
          <w:color w:val="000000"/>
        </w:rPr>
        <w:t xml:space="preserve"> Sempre que ocorrer abertura de vagas remanescentes ou decorrentes de desligamentos, alteração de modalidade ou ampliação do limite, a chefia imediata proverá o revezamento entre as pessoas interessadas em participar do PGD ou em alterar a modalidade de execução, assegurando a igualdade de oportunidades e o rodízio democrático.</w:t>
      </w:r>
    </w:p>
    <w:p w14:paraId="52B40F5B" w14:textId="77777777" w:rsidR="0022606C" w:rsidRDefault="0022606C" w:rsidP="0022606C">
      <w:pPr>
        <w:pStyle w:val="Ttulo1"/>
        <w:jc w:val="both"/>
      </w:pPr>
      <w:r>
        <w:rPr>
          <w:color w:val="000000"/>
          <w:sz w:val="24"/>
          <w:szCs w:val="24"/>
        </w:rPr>
        <w:t>6. DAS INSCRIÇÕES E PROCESSAMENTO EM FLUXO CONTÍNUO</w:t>
      </w:r>
    </w:p>
    <w:p w14:paraId="60BE0566" w14:textId="77777777" w:rsidR="0022606C" w:rsidRDefault="0022606C" w:rsidP="0022606C">
      <w:pPr>
        <w:pStyle w:val="NormalWeb"/>
        <w:spacing w:before="0" w:beforeAutospacing="0" w:after="0" w:afterAutospacing="0"/>
        <w:jc w:val="both"/>
      </w:pPr>
      <w:r>
        <w:rPr>
          <w:color w:val="000000"/>
        </w:rPr>
        <w:t>6.1. As inscrições para o PGD em fluxo contínuo ocorrerão de forma permanente via processo SIPAC, podendo os(as) servidores (as) lotados(as) na unidade manifestar interesse a qualquer tempo.</w:t>
      </w:r>
    </w:p>
    <w:p w14:paraId="74E2171B" w14:textId="77777777" w:rsidR="0022606C" w:rsidRDefault="0022606C" w:rsidP="0022606C"/>
    <w:p w14:paraId="209D6D15" w14:textId="77777777" w:rsidR="0022606C" w:rsidRDefault="0022606C" w:rsidP="0022606C">
      <w:pPr>
        <w:pStyle w:val="NormalWeb"/>
        <w:spacing w:before="0" w:beforeAutospacing="0" w:after="0" w:afterAutospacing="0"/>
        <w:jc w:val="both"/>
      </w:pPr>
      <w:r>
        <w:rPr>
          <w:color w:val="000000"/>
        </w:rPr>
        <w:t>6.2. A chefia da unidade de execução processará os pedidos e os ciclos de revezamento periodicamente, conforme o seguinte fluxo padrão:</w:t>
      </w:r>
    </w:p>
    <w:p w14:paraId="526E8549" w14:textId="77777777" w:rsidR="0022606C" w:rsidRDefault="0022606C" w:rsidP="0022606C"/>
    <w:tbl>
      <w:tblPr>
        <w:tblW w:w="0" w:type="auto"/>
        <w:tblCellMar>
          <w:top w:w="15" w:type="dxa"/>
          <w:left w:w="15" w:type="dxa"/>
          <w:bottom w:w="15" w:type="dxa"/>
          <w:right w:w="15" w:type="dxa"/>
        </w:tblCellMar>
        <w:tblLook w:val="04A0" w:firstRow="1" w:lastRow="0" w:firstColumn="1" w:lastColumn="0" w:noHBand="0" w:noVBand="1"/>
      </w:tblPr>
      <w:tblGrid>
        <w:gridCol w:w="3328"/>
        <w:gridCol w:w="3920"/>
        <w:gridCol w:w="1827"/>
      </w:tblGrid>
      <w:tr w:rsidR="0022606C" w14:paraId="56229213" w14:textId="77777777" w:rsidTr="0022606C">
        <w:trPr>
          <w:tblHeader/>
        </w:trPr>
        <w:tc>
          <w:tcPr>
            <w:tcW w:w="0" w:type="auto"/>
            <w:tcBorders>
              <w:top w:val="single" w:sz="8" w:space="0" w:color="D1D5DB"/>
              <w:bottom w:val="single" w:sz="8" w:space="0" w:color="E5E7EB"/>
            </w:tcBorders>
            <w:shd w:val="clear" w:color="auto" w:fill="F3F4F6"/>
            <w:tcMar>
              <w:top w:w="120" w:type="dxa"/>
              <w:left w:w="160" w:type="dxa"/>
              <w:bottom w:w="120" w:type="dxa"/>
              <w:right w:w="160" w:type="dxa"/>
            </w:tcMar>
            <w:vAlign w:val="center"/>
            <w:hideMark/>
          </w:tcPr>
          <w:p w14:paraId="74FC265F" w14:textId="77777777" w:rsidR="0022606C" w:rsidRDefault="0022606C">
            <w:pPr>
              <w:pStyle w:val="NormalWeb"/>
              <w:spacing w:before="0" w:beforeAutospacing="0" w:after="0" w:afterAutospacing="0"/>
              <w:jc w:val="both"/>
              <w:rPr>
                <w:b/>
                <w:bCs/>
              </w:rPr>
            </w:pPr>
            <w:r>
              <w:rPr>
                <w:b/>
                <w:bCs/>
                <w:color w:val="000000"/>
                <w:sz w:val="20"/>
                <w:szCs w:val="20"/>
              </w:rPr>
              <w:t>Etapa da Seleção Contínua</w:t>
            </w:r>
          </w:p>
        </w:tc>
        <w:tc>
          <w:tcPr>
            <w:tcW w:w="0" w:type="auto"/>
            <w:tcBorders>
              <w:top w:val="single" w:sz="8" w:space="0" w:color="D1D5DB"/>
              <w:bottom w:val="single" w:sz="8" w:space="0" w:color="E5E7EB"/>
            </w:tcBorders>
            <w:shd w:val="clear" w:color="auto" w:fill="F3F4F6"/>
            <w:tcMar>
              <w:top w:w="120" w:type="dxa"/>
              <w:left w:w="160" w:type="dxa"/>
              <w:bottom w:w="120" w:type="dxa"/>
              <w:right w:w="160" w:type="dxa"/>
            </w:tcMar>
            <w:vAlign w:val="center"/>
            <w:hideMark/>
          </w:tcPr>
          <w:p w14:paraId="0858F716" w14:textId="77777777" w:rsidR="0022606C" w:rsidRDefault="0022606C">
            <w:pPr>
              <w:pStyle w:val="NormalWeb"/>
              <w:spacing w:before="0" w:beforeAutospacing="0" w:after="0" w:afterAutospacing="0"/>
              <w:jc w:val="both"/>
              <w:rPr>
                <w:b/>
                <w:bCs/>
              </w:rPr>
            </w:pPr>
            <w:r>
              <w:rPr>
                <w:b/>
                <w:bCs/>
                <w:color w:val="000000"/>
                <w:sz w:val="20"/>
                <w:szCs w:val="20"/>
              </w:rPr>
              <w:t>Prazo/Periodicidade</w:t>
            </w:r>
          </w:p>
        </w:tc>
        <w:tc>
          <w:tcPr>
            <w:tcW w:w="0" w:type="auto"/>
            <w:tcBorders>
              <w:top w:val="single" w:sz="8" w:space="0" w:color="D1D5DB"/>
              <w:bottom w:val="single" w:sz="8" w:space="0" w:color="E5E7EB"/>
            </w:tcBorders>
            <w:shd w:val="clear" w:color="auto" w:fill="F3F4F6"/>
            <w:tcMar>
              <w:top w:w="120" w:type="dxa"/>
              <w:left w:w="160" w:type="dxa"/>
              <w:bottom w:w="120" w:type="dxa"/>
              <w:right w:w="160" w:type="dxa"/>
            </w:tcMar>
            <w:vAlign w:val="center"/>
            <w:hideMark/>
          </w:tcPr>
          <w:p w14:paraId="580BC21C" w14:textId="77777777" w:rsidR="0022606C" w:rsidRDefault="0022606C">
            <w:pPr>
              <w:pStyle w:val="NormalWeb"/>
              <w:spacing w:before="0" w:beforeAutospacing="0" w:after="0" w:afterAutospacing="0"/>
              <w:jc w:val="both"/>
              <w:rPr>
                <w:b/>
                <w:bCs/>
              </w:rPr>
            </w:pPr>
            <w:r>
              <w:rPr>
                <w:b/>
                <w:bCs/>
                <w:color w:val="000000"/>
                <w:sz w:val="20"/>
                <w:szCs w:val="20"/>
              </w:rPr>
              <w:t>Responsável</w:t>
            </w:r>
          </w:p>
        </w:tc>
      </w:tr>
      <w:tr w:rsidR="0022606C" w14:paraId="0B765E8F" w14:textId="77777777" w:rsidTr="0022606C">
        <w:tc>
          <w:tcPr>
            <w:tcW w:w="0" w:type="auto"/>
            <w:tcBorders>
              <w:top w:val="single" w:sz="8" w:space="0" w:color="E5E7EB"/>
              <w:bottom w:val="single" w:sz="8" w:space="0" w:color="E5E7EB"/>
            </w:tcBorders>
            <w:shd w:val="clear" w:color="auto" w:fill="FFFFFF"/>
            <w:tcMar>
              <w:top w:w="120" w:type="dxa"/>
              <w:left w:w="160" w:type="dxa"/>
              <w:bottom w:w="120" w:type="dxa"/>
              <w:right w:w="160" w:type="dxa"/>
            </w:tcMar>
            <w:vAlign w:val="center"/>
            <w:hideMark/>
          </w:tcPr>
          <w:p w14:paraId="074ABDF2" w14:textId="77777777" w:rsidR="0022606C" w:rsidRDefault="0022606C">
            <w:pPr>
              <w:pStyle w:val="NormalWeb"/>
              <w:spacing w:before="0" w:beforeAutospacing="0" w:after="0" w:afterAutospacing="0"/>
              <w:jc w:val="both"/>
            </w:pPr>
            <w:r>
              <w:rPr>
                <w:color w:val="000000"/>
                <w:sz w:val="20"/>
                <w:szCs w:val="20"/>
              </w:rPr>
              <w:t>Inscrição / Manifestação de Interesse</w:t>
            </w:r>
          </w:p>
        </w:tc>
        <w:tc>
          <w:tcPr>
            <w:tcW w:w="0" w:type="auto"/>
            <w:tcBorders>
              <w:top w:val="single" w:sz="8" w:space="0" w:color="E5E7EB"/>
              <w:bottom w:val="single" w:sz="8" w:space="0" w:color="E5E7EB"/>
            </w:tcBorders>
            <w:shd w:val="clear" w:color="auto" w:fill="FFFFFF"/>
            <w:tcMar>
              <w:top w:w="120" w:type="dxa"/>
              <w:left w:w="160" w:type="dxa"/>
              <w:bottom w:w="120" w:type="dxa"/>
              <w:right w:w="160" w:type="dxa"/>
            </w:tcMar>
            <w:vAlign w:val="center"/>
            <w:hideMark/>
          </w:tcPr>
          <w:p w14:paraId="596594A0" w14:textId="77777777" w:rsidR="0022606C" w:rsidRDefault="0022606C">
            <w:pPr>
              <w:pStyle w:val="NormalWeb"/>
              <w:spacing w:before="0" w:beforeAutospacing="0" w:after="0" w:afterAutospacing="0"/>
              <w:jc w:val="both"/>
            </w:pPr>
            <w:r>
              <w:rPr>
                <w:color w:val="000000"/>
                <w:sz w:val="20"/>
                <w:szCs w:val="20"/>
              </w:rPr>
              <w:t>Fluxo Contínuo (A qualquer tempo)</w:t>
            </w:r>
          </w:p>
        </w:tc>
        <w:tc>
          <w:tcPr>
            <w:tcW w:w="0" w:type="auto"/>
            <w:tcBorders>
              <w:top w:val="single" w:sz="8" w:space="0" w:color="E5E7EB"/>
              <w:bottom w:val="single" w:sz="8" w:space="0" w:color="E5E7EB"/>
            </w:tcBorders>
            <w:shd w:val="clear" w:color="auto" w:fill="FFFFFF"/>
            <w:tcMar>
              <w:top w:w="120" w:type="dxa"/>
              <w:left w:w="160" w:type="dxa"/>
              <w:bottom w:w="120" w:type="dxa"/>
              <w:right w:w="160" w:type="dxa"/>
            </w:tcMar>
            <w:vAlign w:val="center"/>
            <w:hideMark/>
          </w:tcPr>
          <w:p w14:paraId="2903A24E" w14:textId="77777777" w:rsidR="0022606C" w:rsidRDefault="0022606C">
            <w:pPr>
              <w:pStyle w:val="NormalWeb"/>
              <w:spacing w:before="0" w:beforeAutospacing="0" w:after="0" w:afterAutospacing="0"/>
              <w:jc w:val="both"/>
            </w:pPr>
            <w:r>
              <w:rPr>
                <w:color w:val="000000"/>
                <w:sz w:val="20"/>
                <w:szCs w:val="20"/>
              </w:rPr>
              <w:t>Servidor(a) Interessado(a)</w:t>
            </w:r>
          </w:p>
        </w:tc>
      </w:tr>
      <w:tr w:rsidR="0022606C" w14:paraId="014B19C4" w14:textId="77777777" w:rsidTr="0022606C">
        <w:tc>
          <w:tcPr>
            <w:tcW w:w="0" w:type="auto"/>
            <w:tcBorders>
              <w:top w:val="single" w:sz="8" w:space="0" w:color="E5E7EB"/>
              <w:bottom w:val="single" w:sz="8" w:space="0" w:color="E5E7EB"/>
            </w:tcBorders>
            <w:shd w:val="clear" w:color="auto" w:fill="FFFFFF"/>
            <w:tcMar>
              <w:top w:w="120" w:type="dxa"/>
              <w:left w:w="160" w:type="dxa"/>
              <w:bottom w:w="120" w:type="dxa"/>
              <w:right w:w="160" w:type="dxa"/>
            </w:tcMar>
            <w:vAlign w:val="center"/>
            <w:hideMark/>
          </w:tcPr>
          <w:p w14:paraId="57164DB8" w14:textId="77777777" w:rsidR="0022606C" w:rsidRDefault="0022606C">
            <w:pPr>
              <w:pStyle w:val="NormalWeb"/>
              <w:spacing w:before="0" w:beforeAutospacing="0" w:after="0" w:afterAutospacing="0"/>
              <w:jc w:val="both"/>
            </w:pPr>
            <w:r>
              <w:rPr>
                <w:color w:val="000000"/>
                <w:sz w:val="20"/>
                <w:szCs w:val="20"/>
              </w:rPr>
              <w:t>Análise de Requisitos e Processamento das Vagas/Revezamento</w:t>
            </w:r>
          </w:p>
        </w:tc>
        <w:tc>
          <w:tcPr>
            <w:tcW w:w="0" w:type="auto"/>
            <w:tcBorders>
              <w:top w:val="single" w:sz="8" w:space="0" w:color="E5E7EB"/>
              <w:bottom w:val="single" w:sz="8" w:space="0" w:color="E5E7EB"/>
            </w:tcBorders>
            <w:shd w:val="clear" w:color="auto" w:fill="FFFFFF"/>
            <w:tcMar>
              <w:top w:w="120" w:type="dxa"/>
              <w:left w:w="160" w:type="dxa"/>
              <w:bottom w:w="120" w:type="dxa"/>
              <w:right w:w="160" w:type="dxa"/>
            </w:tcMar>
            <w:vAlign w:val="center"/>
            <w:hideMark/>
          </w:tcPr>
          <w:p w14:paraId="0DB06769" w14:textId="77777777" w:rsidR="0022606C" w:rsidRDefault="0022606C">
            <w:pPr>
              <w:pStyle w:val="NormalWeb"/>
              <w:spacing w:before="0" w:beforeAutospacing="0" w:after="0" w:afterAutospacing="0"/>
              <w:jc w:val="both"/>
            </w:pPr>
            <w:r>
              <w:rPr>
                <w:color w:val="000000"/>
                <w:sz w:val="20"/>
                <w:szCs w:val="20"/>
              </w:rPr>
              <w:t>Até 15 (quinze) dias após solicitação, prorrogado por igual período, se justificado</w:t>
            </w:r>
          </w:p>
        </w:tc>
        <w:tc>
          <w:tcPr>
            <w:tcW w:w="0" w:type="auto"/>
            <w:tcBorders>
              <w:top w:val="single" w:sz="8" w:space="0" w:color="E5E7EB"/>
              <w:bottom w:val="single" w:sz="8" w:space="0" w:color="E5E7EB"/>
            </w:tcBorders>
            <w:shd w:val="clear" w:color="auto" w:fill="FFFFFF"/>
            <w:tcMar>
              <w:top w:w="120" w:type="dxa"/>
              <w:left w:w="160" w:type="dxa"/>
              <w:bottom w:w="120" w:type="dxa"/>
              <w:right w:w="160" w:type="dxa"/>
            </w:tcMar>
            <w:vAlign w:val="center"/>
            <w:hideMark/>
          </w:tcPr>
          <w:p w14:paraId="437BD946" w14:textId="77777777" w:rsidR="0022606C" w:rsidRDefault="0022606C">
            <w:pPr>
              <w:pStyle w:val="NormalWeb"/>
              <w:spacing w:before="0" w:beforeAutospacing="0" w:after="0" w:afterAutospacing="0"/>
              <w:jc w:val="both"/>
            </w:pPr>
            <w:r>
              <w:rPr>
                <w:color w:val="000000"/>
                <w:sz w:val="20"/>
                <w:szCs w:val="20"/>
              </w:rPr>
              <w:t>Chefia da Unidade</w:t>
            </w:r>
          </w:p>
        </w:tc>
      </w:tr>
      <w:tr w:rsidR="0022606C" w14:paraId="2D2B361A" w14:textId="77777777" w:rsidTr="0022606C">
        <w:tc>
          <w:tcPr>
            <w:tcW w:w="0" w:type="auto"/>
            <w:tcBorders>
              <w:top w:val="single" w:sz="8" w:space="0" w:color="E5E7EB"/>
              <w:bottom w:val="single" w:sz="8" w:space="0" w:color="D1D5DB"/>
            </w:tcBorders>
            <w:shd w:val="clear" w:color="auto" w:fill="FFFFFF"/>
            <w:tcMar>
              <w:top w:w="120" w:type="dxa"/>
              <w:left w:w="160" w:type="dxa"/>
              <w:bottom w:w="120" w:type="dxa"/>
              <w:right w:w="160" w:type="dxa"/>
            </w:tcMar>
            <w:vAlign w:val="center"/>
            <w:hideMark/>
          </w:tcPr>
          <w:p w14:paraId="392824AF" w14:textId="77777777" w:rsidR="0022606C" w:rsidRDefault="0022606C">
            <w:pPr>
              <w:pStyle w:val="NormalWeb"/>
              <w:spacing w:before="0" w:beforeAutospacing="0" w:after="0" w:afterAutospacing="0"/>
              <w:jc w:val="both"/>
            </w:pPr>
            <w:r>
              <w:rPr>
                <w:color w:val="000000"/>
                <w:sz w:val="20"/>
                <w:szCs w:val="20"/>
              </w:rPr>
              <w:t>Divulgação do Resultado e Pactuação do Plano/TCR</w:t>
            </w:r>
          </w:p>
        </w:tc>
        <w:tc>
          <w:tcPr>
            <w:tcW w:w="0" w:type="auto"/>
            <w:tcBorders>
              <w:top w:val="single" w:sz="8" w:space="0" w:color="E5E7EB"/>
              <w:bottom w:val="single" w:sz="8" w:space="0" w:color="D1D5DB"/>
            </w:tcBorders>
            <w:shd w:val="clear" w:color="auto" w:fill="FFFFFF"/>
            <w:tcMar>
              <w:top w:w="120" w:type="dxa"/>
              <w:left w:w="160" w:type="dxa"/>
              <w:bottom w:w="120" w:type="dxa"/>
              <w:right w:w="160" w:type="dxa"/>
            </w:tcMar>
            <w:vAlign w:val="center"/>
            <w:hideMark/>
          </w:tcPr>
          <w:p w14:paraId="5414150E" w14:textId="77777777" w:rsidR="0022606C" w:rsidRDefault="0022606C">
            <w:pPr>
              <w:pStyle w:val="NormalWeb"/>
              <w:spacing w:before="0" w:beforeAutospacing="0" w:after="0" w:afterAutospacing="0"/>
              <w:jc w:val="both"/>
            </w:pPr>
            <w:r>
              <w:rPr>
                <w:color w:val="000000"/>
                <w:sz w:val="20"/>
                <w:szCs w:val="20"/>
              </w:rPr>
              <w:t>Em até 5 (cinco) dias após a análise</w:t>
            </w:r>
          </w:p>
        </w:tc>
        <w:tc>
          <w:tcPr>
            <w:tcW w:w="0" w:type="auto"/>
            <w:tcBorders>
              <w:top w:val="single" w:sz="8" w:space="0" w:color="E5E7EB"/>
              <w:bottom w:val="single" w:sz="8" w:space="0" w:color="D1D5DB"/>
            </w:tcBorders>
            <w:shd w:val="clear" w:color="auto" w:fill="FFFFFF"/>
            <w:tcMar>
              <w:top w:w="120" w:type="dxa"/>
              <w:left w:w="160" w:type="dxa"/>
              <w:bottom w:w="120" w:type="dxa"/>
              <w:right w:w="160" w:type="dxa"/>
            </w:tcMar>
            <w:vAlign w:val="center"/>
            <w:hideMark/>
          </w:tcPr>
          <w:p w14:paraId="2178AA55" w14:textId="77777777" w:rsidR="0022606C" w:rsidRDefault="0022606C">
            <w:pPr>
              <w:pStyle w:val="NormalWeb"/>
              <w:spacing w:before="0" w:beforeAutospacing="0" w:after="0" w:afterAutospacing="0"/>
              <w:jc w:val="both"/>
            </w:pPr>
            <w:r>
              <w:rPr>
                <w:color w:val="000000"/>
                <w:sz w:val="20"/>
                <w:szCs w:val="20"/>
              </w:rPr>
              <w:t>Chefia e Selecionado</w:t>
            </w:r>
          </w:p>
        </w:tc>
      </w:tr>
    </w:tbl>
    <w:p w14:paraId="6DC75843" w14:textId="77777777" w:rsidR="0022606C" w:rsidRDefault="0022606C" w:rsidP="0022606C">
      <w:pPr>
        <w:pStyle w:val="Ttulo1"/>
        <w:jc w:val="both"/>
      </w:pPr>
      <w:r>
        <w:rPr>
          <w:color w:val="000000"/>
          <w:sz w:val="24"/>
          <w:szCs w:val="24"/>
        </w:rPr>
        <w:t>7. DA SELEÇÃO E DA ORDEM DE PRIORIDADE</w:t>
      </w:r>
    </w:p>
    <w:p w14:paraId="1391F3DC" w14:textId="77777777" w:rsidR="0022606C" w:rsidRDefault="0022606C" w:rsidP="0022606C">
      <w:pPr>
        <w:pStyle w:val="NormalWeb"/>
        <w:spacing w:before="0" w:beforeAutospacing="0" w:after="0" w:afterAutospacing="0"/>
        <w:jc w:val="both"/>
      </w:pPr>
      <w:r>
        <w:rPr>
          <w:color w:val="000000"/>
        </w:rPr>
        <w:t>7.1. A seleção avaliará a natureza do trabalho, a modalidade a ser executada e o alinhamento de competências do interessado com o Plano de Entregas da unidade.</w:t>
      </w:r>
    </w:p>
    <w:p w14:paraId="6144F997" w14:textId="77777777" w:rsidR="0022606C" w:rsidRDefault="0022606C" w:rsidP="0022606C"/>
    <w:p w14:paraId="2E27F850" w14:textId="77777777" w:rsidR="0022606C" w:rsidRDefault="0022606C" w:rsidP="0022606C">
      <w:pPr>
        <w:pStyle w:val="NormalWeb"/>
        <w:spacing w:before="0" w:beforeAutospacing="0" w:after="0" w:afterAutospacing="0"/>
        <w:jc w:val="both"/>
      </w:pPr>
      <w:r>
        <w:rPr>
          <w:color w:val="000000"/>
        </w:rPr>
        <w:t>7.2. Quando o quantitativo de pessoas interessadas em aderir ou alterar modalidade no PGD superar o quantitativo de vagas disponibilizadas, a chefia aplicará a seguinte ordem de prioridade, nos termos estritos do artigo 16 da PORTARIA UFOB Nº 668, DE 22 DE MAIO DE 2026 e [Portaria de Instituição do PGD na unidade, quando incluir outros casos prioritários]:</w:t>
      </w:r>
    </w:p>
    <w:p w14:paraId="4E6DE276" w14:textId="77777777" w:rsidR="0022606C" w:rsidRDefault="0022606C" w:rsidP="0022606C"/>
    <w:p w14:paraId="6895BB0E" w14:textId="77777777" w:rsidR="0022606C" w:rsidRDefault="0022606C" w:rsidP="0022606C">
      <w:pPr>
        <w:pStyle w:val="NormalWeb"/>
        <w:spacing w:before="0" w:beforeAutospacing="0" w:after="0" w:afterAutospacing="0"/>
        <w:jc w:val="both"/>
      </w:pPr>
      <w:r>
        <w:rPr>
          <w:color w:val="000000"/>
        </w:rPr>
        <w:t>7.2.1. Pessoa com deficiência ou que sejam pais ou responsáveis por dependentes na mesma condição;</w:t>
      </w:r>
    </w:p>
    <w:p w14:paraId="53360165" w14:textId="77777777" w:rsidR="0022606C" w:rsidRDefault="0022606C" w:rsidP="0022606C"/>
    <w:p w14:paraId="59E05C74" w14:textId="77777777" w:rsidR="0022606C" w:rsidRDefault="0022606C" w:rsidP="0022606C">
      <w:pPr>
        <w:pStyle w:val="NormalWeb"/>
        <w:spacing w:before="0" w:beforeAutospacing="0" w:after="0" w:afterAutospacing="0"/>
        <w:jc w:val="both"/>
      </w:pPr>
      <w:r>
        <w:rPr>
          <w:color w:val="000000"/>
        </w:rPr>
        <w:t>7.2.2. Pessoa com mobilidade reduzida, nos termos da Lei nº 10.098, de 19 de dezembro de 2000;</w:t>
      </w:r>
    </w:p>
    <w:p w14:paraId="0F47A30A" w14:textId="77777777" w:rsidR="0022606C" w:rsidRDefault="0022606C" w:rsidP="0022606C"/>
    <w:p w14:paraId="4A466264" w14:textId="77777777" w:rsidR="0022606C" w:rsidRDefault="0022606C" w:rsidP="0022606C">
      <w:pPr>
        <w:pStyle w:val="NormalWeb"/>
        <w:spacing w:before="0" w:beforeAutospacing="0" w:after="0" w:afterAutospacing="0"/>
        <w:jc w:val="both"/>
      </w:pPr>
      <w:r>
        <w:rPr>
          <w:color w:val="000000"/>
        </w:rPr>
        <w:t>7.2.3. Servidoras mulheres, e homens que estejam em relação homoafetiva, em situação de violência doméstica e familiar;</w:t>
      </w:r>
    </w:p>
    <w:p w14:paraId="0939732B" w14:textId="77777777" w:rsidR="0022606C" w:rsidRDefault="0022606C" w:rsidP="0022606C"/>
    <w:p w14:paraId="7C03EE1E" w14:textId="77777777" w:rsidR="0022606C" w:rsidRDefault="0022606C" w:rsidP="0022606C">
      <w:pPr>
        <w:pStyle w:val="NormalWeb"/>
        <w:spacing w:before="0" w:beforeAutospacing="0" w:after="0" w:afterAutospacing="0"/>
        <w:jc w:val="both"/>
      </w:pPr>
      <w:r>
        <w:rPr>
          <w:color w:val="000000"/>
        </w:rPr>
        <w:t>7.2.4. Pessoa com horário especial, nos termos dos §§ 2º e 3º do art. 98 da Lei nº 8.112, de 11 de dezembro de 1990;</w:t>
      </w:r>
    </w:p>
    <w:p w14:paraId="3DD2E943" w14:textId="77777777" w:rsidR="0022606C" w:rsidRDefault="0022606C" w:rsidP="0022606C"/>
    <w:p w14:paraId="5F4B8CA0" w14:textId="77777777" w:rsidR="0022606C" w:rsidRDefault="0022606C" w:rsidP="0022606C">
      <w:pPr>
        <w:pStyle w:val="NormalWeb"/>
        <w:spacing w:before="0" w:beforeAutospacing="0" w:after="0" w:afterAutospacing="0"/>
        <w:jc w:val="both"/>
      </w:pPr>
      <w:r>
        <w:rPr>
          <w:color w:val="000000"/>
        </w:rPr>
        <w:t>7.2.5. Pessoa idosa (acima de 60 anos);</w:t>
      </w:r>
    </w:p>
    <w:p w14:paraId="705EB56E" w14:textId="77777777" w:rsidR="0022606C" w:rsidRDefault="0022606C" w:rsidP="0022606C"/>
    <w:p w14:paraId="7C633EF5" w14:textId="77777777" w:rsidR="0022606C" w:rsidRDefault="0022606C" w:rsidP="0022606C">
      <w:pPr>
        <w:pStyle w:val="NormalWeb"/>
        <w:spacing w:before="0" w:beforeAutospacing="0" w:after="0" w:afterAutospacing="0"/>
        <w:jc w:val="both"/>
      </w:pPr>
      <w:r>
        <w:rPr>
          <w:color w:val="000000"/>
        </w:rPr>
        <w:t>7.2.6. Pessoa acometida de moléstia profissional, tuberculose ativa, alienação mental, esclerose múltipla, neoplasia maligna, cegueira, hanseníase, paralisia irreversível e incapacitante, cardiopatia grave, doença de Parkinson, espondiloartrose anquilosante, nefropatia grave, hepatopatia grave, estados avançados da doença de Paget (osteíte deformante), contaminação por radiação, ou síndrome da imunodeficiência adquirida;</w:t>
      </w:r>
    </w:p>
    <w:p w14:paraId="067342E8" w14:textId="77777777" w:rsidR="0022606C" w:rsidRDefault="0022606C" w:rsidP="0022606C"/>
    <w:p w14:paraId="0EDA622D" w14:textId="77777777" w:rsidR="0022606C" w:rsidRDefault="0022606C" w:rsidP="0022606C">
      <w:pPr>
        <w:pStyle w:val="NormalWeb"/>
        <w:spacing w:before="0" w:beforeAutospacing="0" w:after="0" w:afterAutospacing="0"/>
        <w:jc w:val="both"/>
      </w:pPr>
      <w:r>
        <w:rPr>
          <w:color w:val="000000"/>
        </w:rPr>
        <w:t>7.2.7. Pessoa gestante;</w:t>
      </w:r>
    </w:p>
    <w:p w14:paraId="6AF50C0C" w14:textId="77777777" w:rsidR="0022606C" w:rsidRDefault="0022606C" w:rsidP="0022606C"/>
    <w:p w14:paraId="55DC0EEF" w14:textId="77777777" w:rsidR="0022606C" w:rsidRDefault="0022606C" w:rsidP="0022606C">
      <w:pPr>
        <w:pStyle w:val="NormalWeb"/>
        <w:spacing w:before="0" w:beforeAutospacing="0" w:after="0" w:afterAutospacing="0"/>
        <w:jc w:val="both"/>
      </w:pPr>
      <w:r>
        <w:rPr>
          <w:color w:val="000000"/>
        </w:rPr>
        <w:t>7.2.8. Pessoa lactante de filho(a) de até dois anos de idade;</w:t>
      </w:r>
    </w:p>
    <w:p w14:paraId="7635DA49" w14:textId="77777777" w:rsidR="0022606C" w:rsidRDefault="0022606C" w:rsidP="0022606C"/>
    <w:p w14:paraId="0B041F34" w14:textId="77777777" w:rsidR="0022606C" w:rsidRDefault="0022606C" w:rsidP="0022606C">
      <w:pPr>
        <w:pStyle w:val="NormalWeb"/>
        <w:spacing w:before="0" w:beforeAutospacing="0" w:after="0" w:afterAutospacing="0"/>
        <w:jc w:val="both"/>
      </w:pPr>
      <w:r>
        <w:rPr>
          <w:color w:val="000000"/>
        </w:rPr>
        <w:t>7.2.9. Pessoa servidora com filho(a)s de zero a quatro anos ou em idade escolar, matriculado(a)s no Ensino Infantil e/ou séries iniciais do Ensino Fundamental; e</w:t>
      </w:r>
    </w:p>
    <w:p w14:paraId="382DCAF5" w14:textId="77777777" w:rsidR="0022606C" w:rsidRDefault="0022606C" w:rsidP="0022606C"/>
    <w:p w14:paraId="4FCFF444" w14:textId="77777777" w:rsidR="0022606C" w:rsidRDefault="0022606C" w:rsidP="0022606C">
      <w:pPr>
        <w:pStyle w:val="NormalWeb"/>
        <w:spacing w:before="0" w:beforeAutospacing="0" w:after="0" w:afterAutospacing="0"/>
        <w:jc w:val="both"/>
      </w:pPr>
      <w:r>
        <w:rPr>
          <w:color w:val="000000"/>
        </w:rPr>
        <w:t>7.2.10. Outros critérios definidos pela unidade instituidora, como resultados da última avaliação do plano de trabalho do participante ou a avaliação de desempenho individual, conforme Portaria de Instituição do PGD na unidade, quando incluir outros casos prioritários.</w:t>
      </w:r>
    </w:p>
    <w:p w14:paraId="77DAB7AE" w14:textId="77777777" w:rsidR="0022606C" w:rsidRDefault="0022606C" w:rsidP="0022606C">
      <w:pPr>
        <w:pStyle w:val="Ttulo1"/>
        <w:jc w:val="both"/>
      </w:pPr>
      <w:r>
        <w:rPr>
          <w:color w:val="000000"/>
          <w:sz w:val="24"/>
          <w:szCs w:val="24"/>
        </w:rPr>
        <w:t>8. DO TERMO DE CIÊNCIA E RESPONSABILIDADE - TCR E DO RESULTADO</w:t>
      </w:r>
    </w:p>
    <w:p w14:paraId="1CC58C65" w14:textId="77777777" w:rsidR="0022606C" w:rsidRDefault="0022606C" w:rsidP="0022606C">
      <w:pPr>
        <w:pStyle w:val="NormalWeb"/>
        <w:spacing w:before="0" w:beforeAutospacing="0" w:after="0" w:afterAutospacing="0"/>
        <w:jc w:val="both"/>
      </w:pPr>
      <w:r>
        <w:rPr>
          <w:color w:val="000000"/>
        </w:rPr>
        <w:t>8.1. O Termo de Ciência e Responsabilidade TCR, conforme modelo do Anexo, será assinado formalmente via sistema institucional eletrônico, pactuando as regras de participação, prazos de convocação presencial e disponibilização de contatos.</w:t>
      </w:r>
    </w:p>
    <w:p w14:paraId="61A7ADAB" w14:textId="77777777" w:rsidR="0022606C" w:rsidRDefault="0022606C" w:rsidP="0022606C"/>
    <w:p w14:paraId="78BE750D" w14:textId="77777777" w:rsidR="0022606C" w:rsidRDefault="0022606C" w:rsidP="0022606C">
      <w:pPr>
        <w:pStyle w:val="NormalWeb"/>
        <w:spacing w:before="0" w:beforeAutospacing="0" w:after="0" w:afterAutospacing="0"/>
        <w:jc w:val="both"/>
      </w:pPr>
      <w:r>
        <w:rPr>
          <w:color w:val="000000"/>
        </w:rPr>
        <w:t>8.2. O resultado de cada ciclo de análise/revezamento será divulgado no endereço eletrônico ou canal institucional da unidade. Em caso de indeferimento, a chefia imediata informará expressamente as justificativas ao(à) servidor(a) por e-mail institucional.</w:t>
      </w:r>
    </w:p>
    <w:p w14:paraId="3D9D5E32" w14:textId="77777777" w:rsidR="0022606C" w:rsidRDefault="0022606C" w:rsidP="0022606C">
      <w:pPr>
        <w:pStyle w:val="Ttulo1"/>
        <w:jc w:val="both"/>
      </w:pPr>
      <w:r>
        <w:rPr>
          <w:color w:val="000000"/>
          <w:sz w:val="24"/>
          <w:szCs w:val="24"/>
        </w:rPr>
        <w:t>9. DAS DISPOSIÇÕES FINAIS</w:t>
      </w:r>
    </w:p>
    <w:p w14:paraId="59338259" w14:textId="77777777" w:rsidR="0022606C" w:rsidRDefault="0022606C" w:rsidP="0022606C">
      <w:pPr>
        <w:pStyle w:val="NormalWeb"/>
        <w:spacing w:before="0" w:beforeAutospacing="0" w:after="0" w:afterAutospacing="0"/>
        <w:jc w:val="both"/>
      </w:pPr>
      <w:r>
        <w:rPr>
          <w:color w:val="000000"/>
        </w:rPr>
        <w:t>9.1. A aprovação na seleção em fluxo contínuo e a participação no PGD não constituem direito adquirido do agente público, ocorrendo em função da conveniência e do interesse da Administração.</w:t>
      </w:r>
    </w:p>
    <w:p w14:paraId="281C7689" w14:textId="77777777" w:rsidR="0022606C" w:rsidRDefault="0022606C" w:rsidP="0022606C"/>
    <w:p w14:paraId="66FC3651" w14:textId="77777777" w:rsidR="0022606C" w:rsidRDefault="0022606C" w:rsidP="0022606C">
      <w:pPr>
        <w:pStyle w:val="NormalWeb"/>
        <w:spacing w:before="0" w:beforeAutospacing="0" w:after="0" w:afterAutospacing="0"/>
        <w:jc w:val="both"/>
      </w:pPr>
      <w:r>
        <w:rPr>
          <w:color w:val="000000"/>
        </w:rPr>
        <w:t>9.2. O presente Edital terá vigência por prazo indeterminado, podendo ser alterado, prorrogado, suspenso ou revogado conforme conveniência administrativa ou atualização dos normativos institucionais superiores.</w:t>
      </w:r>
    </w:p>
    <w:p w14:paraId="74BCA561" w14:textId="77777777" w:rsidR="0022606C" w:rsidRDefault="0022606C" w:rsidP="0022606C"/>
    <w:p w14:paraId="04215FEC" w14:textId="77777777" w:rsidR="0022606C" w:rsidRDefault="0022606C" w:rsidP="0022606C">
      <w:pPr>
        <w:pStyle w:val="NormalWeb"/>
        <w:spacing w:before="0" w:beforeAutospacing="0" w:after="0" w:afterAutospacing="0"/>
        <w:jc w:val="both"/>
      </w:pPr>
      <w:r>
        <w:rPr>
          <w:color w:val="000000"/>
        </w:rPr>
        <w:t>9.3. Os casos omissos neste Edital serão resolvidos pela chefia da unidade instituidora ou pela Pró-Reitoria de Gestão de Pessoas, à luz das diretrizes da PORTARIA UFOB Nº 668/2026.</w:t>
      </w:r>
    </w:p>
    <w:p w14:paraId="0F698095" w14:textId="77777777" w:rsidR="0022606C" w:rsidRDefault="0022606C" w:rsidP="0022606C"/>
    <w:p w14:paraId="5D768F2C" w14:textId="77777777" w:rsidR="0022606C" w:rsidRDefault="0022606C" w:rsidP="0022606C">
      <w:pPr>
        <w:pStyle w:val="NormalWeb"/>
        <w:spacing w:before="0" w:beforeAutospacing="0" w:after="0" w:afterAutospacing="0"/>
        <w:jc w:val="center"/>
      </w:pPr>
      <w:r>
        <w:rPr>
          <w:color w:val="FF0000"/>
        </w:rPr>
        <w:t>[NOME DO(A) DIRETOR(A) / CHEFE DA UNIDADE]</w:t>
      </w:r>
      <w:r>
        <w:rPr>
          <w:color w:val="FF0000"/>
        </w:rPr>
        <w:br/>
        <w:t>[Cargo / Função da Autoridade Competente]</w:t>
      </w:r>
      <w:r>
        <w:rPr>
          <w:color w:val="FF0000"/>
        </w:rPr>
        <w:br/>
        <w:t>[Unidade/UFOB]</w:t>
      </w:r>
    </w:p>
    <w:p w14:paraId="285F69EC" w14:textId="77777777" w:rsidR="0022606C" w:rsidRDefault="0022606C" w:rsidP="0022606C"/>
    <w:p w14:paraId="6F6F3B87" w14:textId="77777777" w:rsidR="0022606C" w:rsidRDefault="0022606C" w:rsidP="0022606C">
      <w:pPr>
        <w:pStyle w:val="NormalWeb"/>
        <w:spacing w:before="0" w:beforeAutospacing="0" w:after="0" w:afterAutospacing="0"/>
        <w:jc w:val="both"/>
      </w:pPr>
      <w:r>
        <w:rPr>
          <w:i/>
          <w:iCs/>
          <w:color w:val="FF0000"/>
        </w:rPr>
        <w:t>Obs: Os campos marcados com "xxxx" e em vermelho ao longo do Modelo do Edital e anexos devem ser preenchidos com informações atualizadas a cada nova publicação.</w:t>
      </w:r>
    </w:p>
    <w:p w14:paraId="46A52C1E" w14:textId="77777777" w:rsidR="00F54D19" w:rsidRPr="00C003B3" w:rsidRDefault="00F54D19">
      <w:pPr>
        <w:widowControl/>
        <w:spacing w:after="160"/>
        <w:jc w:val="both"/>
        <w:rPr>
          <w:rFonts w:ascii="Times New Roman" w:eastAsia="Times New Roman" w:hAnsi="Times New Roman" w:cs="Times New Roman"/>
          <w:color w:val="000000"/>
          <w:sz w:val="24"/>
          <w:szCs w:val="24"/>
          <w:lang w:val="pt-BR"/>
        </w:rPr>
      </w:pPr>
    </w:p>
    <w:sectPr w:rsidR="00F54D19" w:rsidRPr="00C003B3" w:rsidSect="00F353E0">
      <w:headerReference w:type="default" r:id="rId9"/>
      <w:footerReference w:type="default" r:id="rId10"/>
      <w:pgSz w:w="11910" w:h="16850"/>
      <w:pgMar w:top="1701" w:right="1134" w:bottom="1134"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C37712" w14:textId="77777777" w:rsidR="001517E6" w:rsidRDefault="001517E6">
      <w:r>
        <w:separator/>
      </w:r>
    </w:p>
  </w:endnote>
  <w:endnote w:type="continuationSeparator" w:id="0">
    <w:p w14:paraId="1BE6F4FA" w14:textId="77777777" w:rsidR="001517E6" w:rsidRDefault="00151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Inter">
    <w:altName w:val="Times New Roman"/>
    <w:charset w:val="00"/>
    <w:family w:val="auto"/>
    <w:pitch w:val="default"/>
  </w:font>
  <w:font w:name="Caladea">
    <w:altName w:val="Cambria"/>
    <w:panose1 w:val="020405030504060302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3E57C" w14:textId="604A9E17" w:rsidR="00F54D19" w:rsidRDefault="00A95B55">
    <w:pPr>
      <w:pBdr>
        <w:top w:val="nil"/>
        <w:left w:val="nil"/>
        <w:bottom w:val="nil"/>
        <w:right w:val="nil"/>
        <w:between w:val="nil"/>
      </w:pBdr>
      <w:tabs>
        <w:tab w:val="center" w:pos="4252"/>
        <w:tab w:val="right" w:pos="8504"/>
      </w:tabs>
      <w:jc w:val="center"/>
      <w:rPr>
        <w:color w:val="000000"/>
      </w:rPr>
    </w:pPr>
    <w:r>
      <w:rPr>
        <w:color w:val="000000"/>
      </w:rPr>
      <w:t xml:space="preserve">Página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406C29">
      <w:rPr>
        <w:b/>
        <w:noProof/>
        <w:color w:val="000000"/>
        <w:sz w:val="24"/>
        <w:szCs w:val="24"/>
      </w:rPr>
      <w:t>6</w:t>
    </w:r>
    <w:r>
      <w:rPr>
        <w:b/>
        <w:color w:val="000000"/>
        <w:sz w:val="24"/>
        <w:szCs w:val="24"/>
      </w:rPr>
      <w:fldChar w:fldCharType="end"/>
    </w:r>
    <w:r>
      <w:rPr>
        <w:color w:val="000000"/>
      </w:rPr>
      <w:t xml:space="preserve"> de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406C29">
      <w:rPr>
        <w:b/>
        <w:noProof/>
        <w:color w:val="000000"/>
        <w:sz w:val="24"/>
        <w:szCs w:val="24"/>
      </w:rPr>
      <w:t>6</w:t>
    </w:r>
    <w:r>
      <w:rPr>
        <w:b/>
        <w:color w:val="000000"/>
        <w:sz w:val="24"/>
        <w:szCs w:val="24"/>
      </w:rPr>
      <w:fldChar w:fldCharType="end"/>
    </w:r>
  </w:p>
  <w:p w14:paraId="2667976C" w14:textId="77777777" w:rsidR="00F54D19" w:rsidRDefault="00F54D19">
    <w:pPr>
      <w:pBdr>
        <w:top w:val="nil"/>
        <w:left w:val="nil"/>
        <w:bottom w:val="nil"/>
        <w:right w:val="nil"/>
        <w:between w:val="nil"/>
      </w:pBdr>
      <w:tabs>
        <w:tab w:val="center" w:pos="4252"/>
        <w:tab w:val="right" w:pos="8504"/>
      </w:tabs>
      <w:jc w:val="center"/>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C50BF3" w14:textId="77777777" w:rsidR="001517E6" w:rsidRDefault="001517E6">
      <w:r>
        <w:separator/>
      </w:r>
    </w:p>
  </w:footnote>
  <w:footnote w:type="continuationSeparator" w:id="0">
    <w:p w14:paraId="4700E8CF" w14:textId="77777777" w:rsidR="001517E6" w:rsidRDefault="001517E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5143A" w14:textId="77777777" w:rsidR="00F54D19" w:rsidRDefault="00F54D19">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bl>
    <w:tblPr>
      <w:tblStyle w:val="a"/>
      <w:tblW w:w="8797" w:type="dxa"/>
      <w:tblBorders>
        <w:top w:val="nil"/>
        <w:left w:val="nil"/>
        <w:bottom w:val="nil"/>
        <w:right w:val="nil"/>
        <w:insideH w:val="nil"/>
        <w:insideV w:val="nil"/>
      </w:tblBorders>
      <w:tblLayout w:type="fixed"/>
      <w:tblLook w:val="0400" w:firstRow="0" w:lastRow="0" w:firstColumn="0" w:lastColumn="0" w:noHBand="0" w:noVBand="1"/>
    </w:tblPr>
    <w:tblGrid>
      <w:gridCol w:w="1686"/>
      <w:gridCol w:w="7111"/>
    </w:tblGrid>
    <w:tr w:rsidR="00F54D19" w14:paraId="59359961" w14:textId="77777777">
      <w:tc>
        <w:tcPr>
          <w:tcW w:w="1686" w:type="dxa"/>
        </w:tcPr>
        <w:p w14:paraId="10B5CE8A" w14:textId="77777777" w:rsidR="00F54D19" w:rsidRDefault="00A95B55">
          <w:pPr>
            <w:rPr>
              <w:rFonts w:ascii="Caladea" w:eastAsia="Caladea" w:hAnsi="Caladea" w:cs="Caladea"/>
            </w:rPr>
          </w:pPr>
          <w:r>
            <w:rPr>
              <w:rFonts w:ascii="Caladea" w:eastAsia="Caladea" w:hAnsi="Caladea" w:cs="Caladea"/>
              <w:noProof/>
              <w:lang w:val="pt-BR"/>
            </w:rPr>
            <w:drawing>
              <wp:inline distT="0" distB="0" distL="0" distR="0" wp14:anchorId="02864C20" wp14:editId="75231B53">
                <wp:extent cx="936534" cy="1186277"/>
                <wp:effectExtent l="0" t="0" r="0" b="0"/>
                <wp:docPr id="7" name="image1.png" descr="C:\Users\leticia.moreira\AppData\Local\Microsoft\Windows\INetCache\Content.Word\assinatura_digital.png"/>
                <wp:cNvGraphicFramePr/>
                <a:graphic xmlns:a="http://schemas.openxmlformats.org/drawingml/2006/main">
                  <a:graphicData uri="http://schemas.openxmlformats.org/drawingml/2006/picture">
                    <pic:pic xmlns:pic="http://schemas.openxmlformats.org/drawingml/2006/picture">
                      <pic:nvPicPr>
                        <pic:cNvPr id="0" name="image1.png" descr="C:\Users\leticia.moreira\AppData\Local\Microsoft\Windows\INetCache\Content.Word\assinatura_digital.png"/>
                        <pic:cNvPicPr preferRelativeResize="0"/>
                      </pic:nvPicPr>
                      <pic:blipFill>
                        <a:blip r:embed="rId1"/>
                        <a:srcRect/>
                        <a:stretch>
                          <a:fillRect/>
                        </a:stretch>
                      </pic:blipFill>
                      <pic:spPr>
                        <a:xfrm>
                          <a:off x="0" y="0"/>
                          <a:ext cx="936534" cy="1186277"/>
                        </a:xfrm>
                        <a:prstGeom prst="rect">
                          <a:avLst/>
                        </a:prstGeom>
                        <a:ln/>
                      </pic:spPr>
                    </pic:pic>
                  </a:graphicData>
                </a:graphic>
              </wp:inline>
            </w:drawing>
          </w:r>
        </w:p>
      </w:tc>
      <w:tc>
        <w:tcPr>
          <w:tcW w:w="7111" w:type="dxa"/>
        </w:tcPr>
        <w:p w14:paraId="29C132F7" w14:textId="77777777" w:rsidR="00F54D19" w:rsidRDefault="00F54D19">
          <w:pPr>
            <w:rPr>
              <w:rFonts w:ascii="Caladea" w:eastAsia="Caladea" w:hAnsi="Caladea" w:cs="Caladea"/>
              <w:b/>
            </w:rPr>
          </w:pPr>
        </w:p>
        <w:p w14:paraId="73CCF55C" w14:textId="77777777" w:rsidR="00F54D19" w:rsidRDefault="00F54D19">
          <w:pPr>
            <w:rPr>
              <w:rFonts w:ascii="Caladea" w:eastAsia="Caladea" w:hAnsi="Caladea" w:cs="Caladea"/>
              <w:b/>
            </w:rPr>
          </w:pPr>
        </w:p>
        <w:p w14:paraId="18EDBD24" w14:textId="77777777" w:rsidR="00F54D19" w:rsidRDefault="00F54D19">
          <w:pPr>
            <w:rPr>
              <w:rFonts w:ascii="Caladea" w:eastAsia="Caladea" w:hAnsi="Caladea" w:cs="Caladea"/>
              <w:b/>
            </w:rPr>
          </w:pPr>
        </w:p>
        <w:p w14:paraId="737DC526" w14:textId="77777777" w:rsidR="00F54D19" w:rsidRDefault="00F54D19">
          <w:pPr>
            <w:rPr>
              <w:rFonts w:ascii="Caladea" w:eastAsia="Caladea" w:hAnsi="Caladea" w:cs="Caladea"/>
              <w:b/>
            </w:rPr>
          </w:pPr>
        </w:p>
        <w:p w14:paraId="3B01300D" w14:textId="77777777" w:rsidR="00F54D19" w:rsidRDefault="00F54D19">
          <w:pPr>
            <w:rPr>
              <w:rFonts w:ascii="Caladea" w:eastAsia="Caladea" w:hAnsi="Caladea" w:cs="Caladea"/>
              <w:b/>
            </w:rPr>
          </w:pPr>
        </w:p>
        <w:p w14:paraId="379D3645" w14:textId="77777777" w:rsidR="00F54D19" w:rsidRDefault="00F54D19">
          <w:pPr>
            <w:rPr>
              <w:rFonts w:ascii="Caladea" w:eastAsia="Caladea" w:hAnsi="Caladea" w:cs="Caladea"/>
              <w:b/>
              <w:i/>
            </w:rPr>
          </w:pPr>
        </w:p>
        <w:p w14:paraId="2537BCDA" w14:textId="77777777" w:rsidR="00F54D19" w:rsidRDefault="00A95B55">
          <w:pPr>
            <w:rPr>
              <w:rFonts w:ascii="Caladea" w:eastAsia="Caladea" w:hAnsi="Caladea" w:cs="Caladea"/>
              <w:b/>
            </w:rPr>
          </w:pPr>
          <w:r>
            <w:rPr>
              <w:rFonts w:ascii="Caladea" w:eastAsia="Caladea" w:hAnsi="Caladea" w:cs="Caladea"/>
              <w:b/>
            </w:rPr>
            <w:t>UNIVERSIDADE FEDERAL DO OESTE DA BAHIA</w:t>
          </w:r>
        </w:p>
        <w:p w14:paraId="6654AB1E" w14:textId="77777777" w:rsidR="00F54D19" w:rsidRDefault="00A95B55">
          <w:pPr>
            <w:rPr>
              <w:rFonts w:ascii="Caladea" w:eastAsia="Caladea" w:hAnsi="Caladea" w:cs="Caladea"/>
            </w:rPr>
          </w:pPr>
          <w:r>
            <w:rPr>
              <w:rFonts w:ascii="Caladea" w:eastAsia="Caladea" w:hAnsi="Caladea" w:cs="Caladea"/>
            </w:rPr>
            <w:t>Pró-Reitoria de Gestão de Pessoas</w:t>
          </w:r>
        </w:p>
      </w:tc>
    </w:tr>
  </w:tbl>
  <w:p w14:paraId="784A0543" w14:textId="77777777" w:rsidR="00F54D19" w:rsidRDefault="00F54D19">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92700"/>
    <w:multiLevelType w:val="multilevel"/>
    <w:tmpl w:val="C7105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F45A74"/>
    <w:multiLevelType w:val="hybridMultilevel"/>
    <w:tmpl w:val="95F6642C"/>
    <w:lvl w:ilvl="0" w:tplc="7D689ED4">
      <w:start w:val="1"/>
      <w:numFmt w:val="upperRoman"/>
      <w:lvlText w:val="%1-"/>
      <w:lvlJc w:val="left"/>
      <w:pPr>
        <w:ind w:left="720" w:hanging="360"/>
      </w:pPr>
    </w:lvl>
    <w:lvl w:ilvl="1" w:tplc="CFFC97C4">
      <w:start w:val="1"/>
      <w:numFmt w:val="lowerLetter"/>
      <w:lvlText w:val="%2."/>
      <w:lvlJc w:val="left"/>
      <w:pPr>
        <w:ind w:left="1440" w:hanging="360"/>
      </w:pPr>
    </w:lvl>
    <w:lvl w:ilvl="2" w:tplc="A8322E16">
      <w:start w:val="1"/>
      <w:numFmt w:val="lowerRoman"/>
      <w:lvlText w:val="%3."/>
      <w:lvlJc w:val="right"/>
      <w:pPr>
        <w:ind w:left="2160" w:hanging="180"/>
      </w:pPr>
    </w:lvl>
    <w:lvl w:ilvl="3" w:tplc="90D811E0">
      <w:start w:val="1"/>
      <w:numFmt w:val="decimal"/>
      <w:lvlText w:val="%4."/>
      <w:lvlJc w:val="left"/>
      <w:pPr>
        <w:ind w:left="2880" w:hanging="360"/>
      </w:pPr>
    </w:lvl>
    <w:lvl w:ilvl="4" w:tplc="3A6EFD02">
      <w:start w:val="1"/>
      <w:numFmt w:val="lowerLetter"/>
      <w:lvlText w:val="%5."/>
      <w:lvlJc w:val="left"/>
      <w:pPr>
        <w:ind w:left="3600" w:hanging="360"/>
      </w:pPr>
    </w:lvl>
    <w:lvl w:ilvl="5" w:tplc="C3A408D4">
      <w:start w:val="1"/>
      <w:numFmt w:val="lowerRoman"/>
      <w:lvlText w:val="%6."/>
      <w:lvlJc w:val="right"/>
      <w:pPr>
        <w:ind w:left="4320" w:hanging="180"/>
      </w:pPr>
    </w:lvl>
    <w:lvl w:ilvl="6" w:tplc="F3161694">
      <w:start w:val="1"/>
      <w:numFmt w:val="decimal"/>
      <w:lvlText w:val="%7."/>
      <w:lvlJc w:val="left"/>
      <w:pPr>
        <w:ind w:left="5040" w:hanging="360"/>
      </w:pPr>
    </w:lvl>
    <w:lvl w:ilvl="7" w:tplc="8CDA0810">
      <w:start w:val="1"/>
      <w:numFmt w:val="lowerLetter"/>
      <w:lvlText w:val="%8."/>
      <w:lvlJc w:val="left"/>
      <w:pPr>
        <w:ind w:left="5760" w:hanging="360"/>
      </w:pPr>
    </w:lvl>
    <w:lvl w:ilvl="8" w:tplc="BDCE2A22">
      <w:start w:val="1"/>
      <w:numFmt w:val="lowerRoman"/>
      <w:lvlText w:val="%9."/>
      <w:lvlJc w:val="right"/>
      <w:pPr>
        <w:ind w:left="6480" w:hanging="180"/>
      </w:pPr>
    </w:lvl>
  </w:abstractNum>
  <w:abstractNum w:abstractNumId="2" w15:restartNumberingAfterBreak="0">
    <w:nsid w:val="30224479"/>
    <w:multiLevelType w:val="multilevel"/>
    <w:tmpl w:val="2C4236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040E19"/>
    <w:multiLevelType w:val="hybridMultilevel"/>
    <w:tmpl w:val="DDC4299E"/>
    <w:lvl w:ilvl="0" w:tplc="E04C8836">
      <w:start w:val="1"/>
      <w:numFmt w:val="upperRoman"/>
      <w:lvlText w:val="%1-"/>
      <w:lvlJc w:val="left"/>
      <w:pPr>
        <w:ind w:left="720" w:hanging="360"/>
      </w:pPr>
    </w:lvl>
    <w:lvl w:ilvl="1" w:tplc="2ABE3A1C">
      <w:start w:val="1"/>
      <w:numFmt w:val="lowerLetter"/>
      <w:lvlText w:val="%2."/>
      <w:lvlJc w:val="left"/>
      <w:pPr>
        <w:ind w:left="1440" w:hanging="360"/>
      </w:pPr>
    </w:lvl>
    <w:lvl w:ilvl="2" w:tplc="904C5C54">
      <w:start w:val="1"/>
      <w:numFmt w:val="lowerRoman"/>
      <w:lvlText w:val="%3."/>
      <w:lvlJc w:val="right"/>
      <w:pPr>
        <w:ind w:left="2160" w:hanging="180"/>
      </w:pPr>
    </w:lvl>
    <w:lvl w:ilvl="3" w:tplc="94F4CAAC">
      <w:start w:val="1"/>
      <w:numFmt w:val="decimal"/>
      <w:lvlText w:val="%4."/>
      <w:lvlJc w:val="left"/>
      <w:pPr>
        <w:ind w:left="2880" w:hanging="360"/>
      </w:pPr>
    </w:lvl>
    <w:lvl w:ilvl="4" w:tplc="B5BC6CDE">
      <w:start w:val="1"/>
      <w:numFmt w:val="lowerLetter"/>
      <w:lvlText w:val="%5."/>
      <w:lvlJc w:val="left"/>
      <w:pPr>
        <w:ind w:left="3600" w:hanging="360"/>
      </w:pPr>
    </w:lvl>
    <w:lvl w:ilvl="5" w:tplc="EEEEA084">
      <w:start w:val="1"/>
      <w:numFmt w:val="lowerRoman"/>
      <w:lvlText w:val="%6."/>
      <w:lvlJc w:val="right"/>
      <w:pPr>
        <w:ind w:left="4320" w:hanging="180"/>
      </w:pPr>
    </w:lvl>
    <w:lvl w:ilvl="6" w:tplc="831401A0">
      <w:start w:val="1"/>
      <w:numFmt w:val="decimal"/>
      <w:lvlText w:val="%7."/>
      <w:lvlJc w:val="left"/>
      <w:pPr>
        <w:ind w:left="5040" w:hanging="360"/>
      </w:pPr>
    </w:lvl>
    <w:lvl w:ilvl="7" w:tplc="928A61F0">
      <w:start w:val="1"/>
      <w:numFmt w:val="lowerLetter"/>
      <w:lvlText w:val="%8."/>
      <w:lvlJc w:val="left"/>
      <w:pPr>
        <w:ind w:left="5760" w:hanging="360"/>
      </w:pPr>
    </w:lvl>
    <w:lvl w:ilvl="8" w:tplc="97066D16">
      <w:start w:val="1"/>
      <w:numFmt w:val="lowerRoman"/>
      <w:lvlText w:val="%9."/>
      <w:lvlJc w:val="right"/>
      <w:pPr>
        <w:ind w:left="6480" w:hanging="180"/>
      </w:pPr>
    </w:lvl>
  </w:abstractNum>
  <w:abstractNum w:abstractNumId="4" w15:restartNumberingAfterBreak="0">
    <w:nsid w:val="51FF7B50"/>
    <w:multiLevelType w:val="multilevel"/>
    <w:tmpl w:val="150A7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70E748C"/>
    <w:multiLevelType w:val="multilevel"/>
    <w:tmpl w:val="C33EC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155151"/>
    <w:multiLevelType w:val="multilevel"/>
    <w:tmpl w:val="9CA27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6"/>
    <w:lvlOverride w:ilvl="0">
      <w:lvl w:ilvl="0">
        <w:numFmt w:val="upperRoman"/>
        <w:lvlText w:val="%1."/>
        <w:lvlJc w:val="right"/>
      </w:lvl>
    </w:lvlOverride>
  </w:num>
  <w:num w:numId="4">
    <w:abstractNumId w:val="4"/>
    <w:lvlOverride w:ilvl="0">
      <w:lvl w:ilvl="0">
        <w:numFmt w:val="upperRoman"/>
        <w:lvlText w:val="%1."/>
        <w:lvlJc w:val="right"/>
      </w:lvl>
    </w:lvlOverride>
  </w:num>
  <w:num w:numId="5">
    <w:abstractNumId w:val="5"/>
  </w:num>
  <w:num w:numId="6">
    <w:abstractNumId w:val="2"/>
    <w:lvlOverride w:ilvl="0">
      <w:lvl w:ilvl="0">
        <w:numFmt w:val="decimal"/>
        <w:lvlText w:val="%1."/>
        <w:lvlJc w:val="left"/>
      </w:lvl>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D19"/>
    <w:rsid w:val="000448E4"/>
    <w:rsid w:val="001517E6"/>
    <w:rsid w:val="00191392"/>
    <w:rsid w:val="001A084E"/>
    <w:rsid w:val="001A6BAB"/>
    <w:rsid w:val="0022606C"/>
    <w:rsid w:val="00406C29"/>
    <w:rsid w:val="005E2328"/>
    <w:rsid w:val="00794045"/>
    <w:rsid w:val="009E046E"/>
    <w:rsid w:val="00A7525B"/>
    <w:rsid w:val="00A95B55"/>
    <w:rsid w:val="00AF7659"/>
    <w:rsid w:val="00C003B3"/>
    <w:rsid w:val="00C470FA"/>
    <w:rsid w:val="00C64B54"/>
    <w:rsid w:val="00C650C4"/>
    <w:rsid w:val="00CB34DA"/>
    <w:rsid w:val="00CE1478"/>
    <w:rsid w:val="00DA3C48"/>
    <w:rsid w:val="00DD6616"/>
    <w:rsid w:val="00E64FB5"/>
    <w:rsid w:val="00E73D89"/>
    <w:rsid w:val="00E748E1"/>
    <w:rsid w:val="00EE2C0C"/>
    <w:rsid w:val="00F22AAE"/>
    <w:rsid w:val="00F25FBF"/>
    <w:rsid w:val="00F353E0"/>
    <w:rsid w:val="00F54D1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05AF7"/>
  <w15:docId w15:val="{25C5D628-66C1-487A-986A-B62B72C8F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pt-B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har"/>
    <w:qFormat/>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i/>
      <w:sz w:val="16"/>
      <w:szCs w:val="16"/>
    </w:rPr>
  </w:style>
  <w:style w:type="paragraph" w:styleId="PargrafodaLista">
    <w:name w:val="List Paragraph"/>
    <w:basedOn w:val="Normal"/>
    <w:uiPriority w:val="34"/>
    <w:qFormat/>
  </w:style>
  <w:style w:type="paragraph" w:customStyle="1" w:styleId="TableParagraph">
    <w:name w:val="Table Paragraph"/>
    <w:basedOn w:val="Normal"/>
    <w:uiPriority w:val="1"/>
    <w:qFormat/>
  </w:style>
  <w:style w:type="paragraph" w:styleId="Cabealho">
    <w:name w:val="header"/>
    <w:basedOn w:val="Normal"/>
    <w:link w:val="CabealhoChar"/>
    <w:unhideWhenUsed/>
    <w:rsid w:val="00AA2C30"/>
    <w:pPr>
      <w:tabs>
        <w:tab w:val="center" w:pos="4252"/>
        <w:tab w:val="right" w:pos="8504"/>
      </w:tabs>
    </w:pPr>
  </w:style>
  <w:style w:type="character" w:customStyle="1" w:styleId="CabealhoChar">
    <w:name w:val="Cabeçalho Char"/>
    <w:basedOn w:val="Fontepargpadro"/>
    <w:link w:val="Cabealho"/>
    <w:rsid w:val="00AA2C30"/>
    <w:rPr>
      <w:rFonts w:ascii="Arial" w:eastAsia="Arial" w:hAnsi="Arial" w:cs="Arial"/>
    </w:rPr>
  </w:style>
  <w:style w:type="paragraph" w:styleId="Rodap">
    <w:name w:val="footer"/>
    <w:basedOn w:val="Normal"/>
    <w:link w:val="RodapChar"/>
    <w:uiPriority w:val="99"/>
    <w:unhideWhenUsed/>
    <w:rsid w:val="00AA2C30"/>
    <w:pPr>
      <w:tabs>
        <w:tab w:val="center" w:pos="4252"/>
        <w:tab w:val="right" w:pos="8504"/>
      </w:tabs>
    </w:pPr>
  </w:style>
  <w:style w:type="character" w:customStyle="1" w:styleId="RodapChar">
    <w:name w:val="Rodapé Char"/>
    <w:basedOn w:val="Fontepargpadro"/>
    <w:link w:val="Rodap"/>
    <w:uiPriority w:val="99"/>
    <w:rsid w:val="00AA2C30"/>
    <w:rPr>
      <w:rFonts w:ascii="Arial" w:eastAsia="Arial" w:hAnsi="Arial" w:cs="Arial"/>
    </w:rPr>
  </w:style>
  <w:style w:type="table" w:styleId="Tabelacomgrade">
    <w:name w:val="Table Grid"/>
    <w:basedOn w:val="Tabelanormal"/>
    <w:uiPriority w:val="39"/>
    <w:rsid w:val="00AA2C30"/>
    <w:pPr>
      <w:widowControl/>
    </w:pPr>
    <w:rPr>
      <w:rFonts w:ascii="Times New Roman" w:eastAsia="Times New Roman" w:hAnsi="Times New Roman" w:cs="Times New Roman"/>
      <w:sz w:val="20"/>
      <w:szCs w:val="20"/>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3">
    <w:name w:val="Tabela com grade3"/>
    <w:basedOn w:val="Tabelanormal"/>
    <w:next w:val="Tabelacomgrade"/>
    <w:uiPriority w:val="39"/>
    <w:rsid w:val="00B3065A"/>
    <w:pPr>
      <w:widowControl/>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D4F51"/>
    <w:pPr>
      <w:widowControl/>
      <w:spacing w:before="100" w:beforeAutospacing="1" w:after="100" w:afterAutospacing="1"/>
    </w:pPr>
    <w:rPr>
      <w:rFonts w:ascii="Times New Roman" w:eastAsia="Times New Roman" w:hAnsi="Times New Roman" w:cs="Times New Roman"/>
      <w:sz w:val="24"/>
      <w:szCs w:val="24"/>
      <w:lang w:val="pt-BR"/>
    </w:rPr>
  </w:style>
  <w:style w:type="character" w:styleId="Forte">
    <w:name w:val="Strong"/>
    <w:basedOn w:val="Fontepargpadro"/>
    <w:uiPriority w:val="22"/>
    <w:qFormat/>
    <w:rsid w:val="00B21F3D"/>
    <w:rPr>
      <w:b/>
      <w:bCs/>
    </w:rPr>
  </w:style>
  <w:style w:type="character" w:styleId="Hyperlink">
    <w:name w:val="Hyperlink"/>
    <w:basedOn w:val="Fontepargpadro"/>
    <w:uiPriority w:val="99"/>
    <w:unhideWhenUsed/>
    <w:rsid w:val="00CC06C7"/>
    <w:rPr>
      <w:color w:val="0000FF" w:themeColor="hyperlink"/>
      <w:u w:val="singl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widowControl/>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character" w:customStyle="1" w:styleId="UnresolvedMention">
    <w:name w:val="Unresolved Mention"/>
    <w:basedOn w:val="Fontepargpadro"/>
    <w:uiPriority w:val="99"/>
    <w:semiHidden/>
    <w:unhideWhenUsed/>
    <w:rsid w:val="00F25FBF"/>
    <w:rPr>
      <w:color w:val="605E5C"/>
      <w:shd w:val="clear" w:color="auto" w:fill="E1DFDD"/>
    </w:rPr>
  </w:style>
  <w:style w:type="character" w:customStyle="1" w:styleId="TtuloChar">
    <w:name w:val="Título Char"/>
    <w:basedOn w:val="Fontepargpadro"/>
    <w:link w:val="Ttulo"/>
    <w:rsid w:val="000448E4"/>
    <w:rPr>
      <w:b/>
      <w:sz w:val="72"/>
      <w:szCs w:val="72"/>
    </w:rPr>
  </w:style>
  <w:style w:type="character" w:customStyle="1" w:styleId="apple-tab-span">
    <w:name w:val="apple-tab-span"/>
    <w:basedOn w:val="Fontepargpadro"/>
    <w:rsid w:val="00C003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520289">
      <w:bodyDiv w:val="1"/>
      <w:marLeft w:val="0"/>
      <w:marRight w:val="0"/>
      <w:marTop w:val="0"/>
      <w:marBottom w:val="0"/>
      <w:divBdr>
        <w:top w:val="none" w:sz="0" w:space="0" w:color="auto"/>
        <w:left w:val="none" w:sz="0" w:space="0" w:color="auto"/>
        <w:bottom w:val="none" w:sz="0" w:space="0" w:color="auto"/>
        <w:right w:val="none" w:sz="0" w:space="0" w:color="auto"/>
      </w:divBdr>
    </w:div>
    <w:div w:id="1210068131">
      <w:bodyDiv w:val="1"/>
      <w:marLeft w:val="0"/>
      <w:marRight w:val="0"/>
      <w:marTop w:val="0"/>
      <w:marBottom w:val="0"/>
      <w:divBdr>
        <w:top w:val="none" w:sz="0" w:space="0" w:color="auto"/>
        <w:left w:val="none" w:sz="0" w:space="0" w:color="auto"/>
        <w:bottom w:val="none" w:sz="0" w:space="0" w:color="auto"/>
        <w:right w:val="none" w:sz="0" w:space="0" w:color="auto"/>
      </w:divBdr>
    </w:div>
    <w:div w:id="16499400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xULaKxubgouIo+wIwpll07+eXfQ==">AMUW2mUeENVtePkN0Ry5kEJDW3CwMOwaQBEgHVbahKRc5VrDjHZHhyimVGkAGVgmaUgDDFEBtyR220BTq/Datt/mAC/y5m6sSvYeHvw+p5hP4I5X+tw6dQfOjN9H8LWjtwmA6vN08hsT</go:docsCustomData>
</go:gDocsCustomXmlDataStorage>
</file>

<file path=customXml/item2.xml><?xml version="1.0" encoding="utf-8"?>
<b:Sources xmlns:b="http://schemas.openxmlformats.org/officeDocument/2006/bibliography" xmlns="http://schemas.openxmlformats.org/officeDocument/2006/bibliography" SelectedStyle="\ABNT_Author.XSL" StyleName="ABNT NBR 6023:2002*" Version="10"/>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2F71158-F60C-43D2-8081-987FB3A1E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1816</Words>
  <Characters>9809</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cgp-607025</dc:creator>
  <cp:lastModifiedBy>Diana Yoshie Takemoto</cp:lastModifiedBy>
  <cp:revision>2</cp:revision>
  <cp:lastPrinted>2026-10-01T12:20:00Z</cp:lastPrinted>
  <dcterms:created xsi:type="dcterms:W3CDTF">2026-10-01T18:28:00Z</dcterms:created>
  <dcterms:modified xsi:type="dcterms:W3CDTF">2026-10-01T18:28:00Z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2014-07-16T00:00:00Z</vt:filetime>
  </property>
  <property fmtid="{D5CDD505-2E9C-101B-9397-08002B2CF9AE}" pid="3" name="Creator">
    <vt:lpwstr>Microsoft® Word 2013</vt:lpwstr>
  </property>
  <property fmtid="{D5CDD505-2E9C-101B-9397-08002B2CF9AE}" pid="4" name="LastSaved">
    <vt:filetime>2017-04-20T00:00:00Z</vt:filetime>
  </property>
</Properties>
</file>