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1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16"/>
      </w:tblGrid>
      <w:tr w:rsidR="009839BA">
        <w:trPr>
          <w:trHeight w:val="24614"/>
        </w:trPr>
        <w:tc>
          <w:tcPr>
            <w:tcW w:w="9316" w:type="dxa"/>
          </w:tcPr>
          <w:p w:rsidR="009839BA" w:rsidRDefault="003A2578">
            <w:pPr>
              <w:shd w:val="clear" w:color="auto" w:fill="E5DFEC"/>
              <w:spacing w:line="360" w:lineRule="auto"/>
              <w:ind w:right="6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oBack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ANEXO VI – TERMO DE COMPROMISSO</w:t>
            </w:r>
          </w:p>
          <w:bookmarkEnd w:id="0"/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3A2578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Pelo presente Termo de Compromisso, estudante e orientador (a) comprometem-se, conjuntamente, a conhecerem e cumprirem as normas e obrigações do EDITAL PROEC/UFOB Nº 01/2025 - PROGRAMA DE APOIO À EXTENSÃO UNIVERSITÁRIA - ESTUDANTE PROTAGONISTA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3A2578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  <w:r>
              <w:rPr>
                <w:rFonts w:ascii="Cambria" w:eastAsia="Cambria" w:hAnsi="Cambria" w:cs="Cambria"/>
                <w:b/>
                <w:highlight w:val="white"/>
              </w:rPr>
              <w:t xml:space="preserve">O (A) </w:t>
            </w:r>
            <w:proofErr w:type="gramStart"/>
            <w:r>
              <w:rPr>
                <w:rFonts w:ascii="Cambria" w:eastAsia="Cambria" w:hAnsi="Cambria" w:cs="Cambria"/>
                <w:b/>
                <w:highlight w:val="white"/>
              </w:rPr>
              <w:t>orien</w:t>
            </w:r>
            <w:r>
              <w:rPr>
                <w:rFonts w:ascii="Cambria" w:eastAsia="Cambria" w:hAnsi="Cambria" w:cs="Cambria"/>
                <w:b/>
                <w:highlight w:val="white"/>
              </w:rPr>
              <w:t>tador(</w:t>
            </w:r>
            <w:proofErr w:type="gramEnd"/>
            <w:r>
              <w:rPr>
                <w:rFonts w:ascii="Cambria" w:eastAsia="Cambria" w:hAnsi="Cambria" w:cs="Cambria"/>
                <w:b/>
                <w:highlight w:val="white"/>
              </w:rPr>
              <w:t xml:space="preserve">a) se compromete a: 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left="29" w:right="68" w:firstLine="0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Orientar e acompanhar </w:t>
            </w:r>
            <w:proofErr w:type="gramStart"/>
            <w:r>
              <w:rPr>
                <w:rFonts w:ascii="Cambria" w:eastAsia="Cambria" w:hAnsi="Cambria" w:cs="Cambria"/>
                <w:highlight w:val="white"/>
              </w:rPr>
              <w:t>o(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>a) bolsista, visando à sua formação acadêmica, inclusive na elaboração de relatórios e apresentação de trabalhos em eventos;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Promover, no âmbito da proposta, o cumprimento das diretrizes da Extensão Univer</w:t>
            </w:r>
            <w:r>
              <w:rPr>
                <w:rFonts w:ascii="Cambria" w:eastAsia="Cambria" w:hAnsi="Cambria" w:cs="Cambria"/>
                <w:highlight w:val="white"/>
              </w:rPr>
              <w:t>sitária;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Dar viabilidade de execução da ação juntamente com os demais membros da equipe; 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Comunicar imediatamente qualquer afastamento da orientação;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Responder à PROEC, sempre que necessário, sobre a ação de Extensão sob sua orientação;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Participar das reuniões e eventos promovidos pela PROEC e estar presente durante a apresentação de trabalho de </w:t>
            </w:r>
            <w:proofErr w:type="gramStart"/>
            <w:r>
              <w:rPr>
                <w:rFonts w:ascii="Cambria" w:eastAsia="Cambria" w:hAnsi="Cambria" w:cs="Cambria"/>
                <w:highlight w:val="white"/>
              </w:rPr>
              <w:t>seu(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>sua) orientando(a);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Ser membro avaliador em editais promovidos pela PROEC, caso seja convocado, e cumprir os prazos para avaliação estabeleci</w:t>
            </w:r>
            <w:r>
              <w:rPr>
                <w:rFonts w:ascii="Cambria" w:eastAsia="Cambria" w:hAnsi="Cambria" w:cs="Cambria"/>
                <w:highlight w:val="white"/>
              </w:rPr>
              <w:t xml:space="preserve">dos; 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Participar das reuniões agendadas pela PROEC para discussão de assuntos relacionados à Extensão Universitária;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Realizar o cadastro da ação no Sistema Integrado de Gestão de Atividades Acadêmicas - SIGAA – Módulo Extensão, bem como cadastrar os produt</w:t>
            </w:r>
            <w:r>
              <w:rPr>
                <w:rFonts w:ascii="Cambria" w:eastAsia="Cambria" w:hAnsi="Cambria" w:cs="Cambria"/>
                <w:highlight w:val="white"/>
              </w:rPr>
              <w:t xml:space="preserve">os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extensionistas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decorrentes, conforme orientações da PROEC;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Encaminhar a frequência mensal </w:t>
            </w:r>
            <w:proofErr w:type="gramStart"/>
            <w:r>
              <w:rPr>
                <w:rFonts w:ascii="Cambria" w:eastAsia="Cambria" w:hAnsi="Cambria" w:cs="Cambria"/>
                <w:highlight w:val="white"/>
              </w:rPr>
              <w:t>do(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a) bolsista à PROEC, nos prazos determinados pela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Pró-Reitoria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>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Informar a PROEC quaisquer intercorrências relativas à execução do projeto;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Cadastrar relatório </w:t>
            </w:r>
            <w:r>
              <w:rPr>
                <w:rFonts w:ascii="Cambria" w:eastAsia="Cambria" w:hAnsi="Cambria" w:cs="Cambria"/>
                <w:highlight w:val="white"/>
              </w:rPr>
              <w:t>final do projeto no SIGAA.</w:t>
            </w:r>
          </w:p>
          <w:p w:rsidR="009839BA" w:rsidRDefault="009839BA">
            <w:pPr>
              <w:spacing w:line="360" w:lineRule="auto"/>
              <w:ind w:left="720" w:right="68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3A2578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  <w:proofErr w:type="gramStart"/>
            <w:r>
              <w:rPr>
                <w:rFonts w:ascii="Cambria" w:eastAsia="Cambria" w:hAnsi="Cambria" w:cs="Cambria"/>
                <w:b/>
                <w:highlight w:val="white"/>
              </w:rPr>
              <w:t>O(</w:t>
            </w:r>
            <w:proofErr w:type="gramEnd"/>
            <w:r>
              <w:rPr>
                <w:rFonts w:ascii="Cambria" w:eastAsia="Cambria" w:hAnsi="Cambria" w:cs="Cambria"/>
                <w:b/>
                <w:highlight w:val="white"/>
              </w:rPr>
              <w:t xml:space="preserve">A) estudante bolsista se compromete a: 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Manter-se regularmente matriculado e frequente em um dos cursos de graduação da UFOB;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lastRenderedPageBreak/>
              <w:t>Manter a conta corrente sob sua titularidade devidamente ativa, sob pena de não receber o valor da b</w:t>
            </w:r>
            <w:r>
              <w:rPr>
                <w:rFonts w:ascii="Cambria" w:eastAsia="Cambria" w:hAnsi="Cambria" w:cs="Cambria"/>
                <w:highlight w:val="white"/>
              </w:rPr>
              <w:t>olsa. Caso haja alteração de conta, informar imediatamente à PROEC. Nos casos de conta inativa, o pagamento será retomado após a reativação da conta, sem pagamento retroativo (exclusivo para bolsista);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Manter atualizados os dados de identificação e comunic</w:t>
            </w:r>
            <w:r>
              <w:rPr>
                <w:rFonts w:ascii="Cambria" w:eastAsia="Cambria" w:hAnsi="Cambria" w:cs="Cambria"/>
                <w:highlight w:val="white"/>
              </w:rPr>
              <w:t>ação no SIGAA;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Cumprir as atividades previstas no projeto;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Elaborar relatórios final, conforme orientações da PROEC;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Apresentar o trabalho desenvolvido em evento institucional, conforme orientação da PROEC;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Citar o programa e a fonte financiadora nas publi</w:t>
            </w:r>
            <w:r>
              <w:rPr>
                <w:rFonts w:ascii="Cambria" w:eastAsia="Cambria" w:hAnsi="Cambria" w:cs="Cambria"/>
                <w:highlight w:val="white"/>
              </w:rPr>
              <w:t>cações resultantes das atividades desenvolvidas no âmbito do PROGRAMA DE APOIO À EXTENSÃO UNIVERSITÁRIA (ESTUDANTE PROTAGONISTA) (exclusivo para bolsista);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Ter bom desempenho acadêmico, evidenciado pelo histórico escolar, com Índice de Rendimento Acadêmico</w:t>
            </w:r>
            <w:r>
              <w:rPr>
                <w:rFonts w:ascii="Cambria" w:eastAsia="Cambria" w:hAnsi="Cambria" w:cs="Cambria"/>
                <w:highlight w:val="white"/>
              </w:rPr>
              <w:t xml:space="preserve"> igual ou superior a 5,0 (cinco) (exclusivo para bolsista);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Não efetuar trancamento total do curso de graduação;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Não possuir vínculo empregatício, durante o período de vigência da bolsa (exclusivo para bolsista);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Não possuir outra bolsa, de qualquer nature</w:t>
            </w:r>
            <w:r>
              <w:rPr>
                <w:rFonts w:ascii="Cambria" w:eastAsia="Cambria" w:hAnsi="Cambria" w:cs="Cambria"/>
                <w:highlight w:val="white"/>
              </w:rPr>
              <w:t>za, durante a condição de bolsista, exceto auxílio da Assistência Estudantil (exclusivo para bolsista);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Incluir em seu currículo Lattes a indicação de participação no projeto de extensão;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Participar das atividades acadêmicas relativas ao PROGRAMA DE APOIO </w:t>
            </w:r>
            <w:r>
              <w:rPr>
                <w:rFonts w:ascii="Cambria" w:eastAsia="Cambria" w:hAnsi="Cambria" w:cs="Cambria"/>
                <w:highlight w:val="white"/>
              </w:rPr>
              <w:t>À EXTENSÃO UNIVERSITÁRIA (ESTUDANTE PROTAGONISTA) e às atividades propostas pela PROEC;</w:t>
            </w:r>
          </w:p>
          <w:p w:rsidR="009839BA" w:rsidRDefault="003A2578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Manter o (a) orientador (a) informado (a) sobre o andamento da execução do projeto.</w:t>
            </w:r>
          </w:p>
          <w:p w:rsidR="009839BA" w:rsidRDefault="009839BA">
            <w:pPr>
              <w:ind w:left="358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3A2578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  <w:r>
              <w:rPr>
                <w:rFonts w:ascii="Cambria" w:eastAsia="Cambria" w:hAnsi="Cambria" w:cs="Cambria"/>
                <w:b/>
                <w:highlight w:val="white"/>
              </w:rPr>
              <w:t>O descumprimento de qualquer dos requisitos, obrigações e compromissos estabelecidos no EDITAL PROEC/UFOB Nº 01/2025 - PROGRAMA DE APOIO À EXTENSÃO UNIVERSITÁRIA - ESTUDANTE PROTAGONISTA, implicará em inadimplência com a PROEC.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3A2578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Local, ____/____/_______</w:t>
            </w:r>
          </w:p>
          <w:p w:rsidR="009839BA" w:rsidRDefault="009839BA">
            <w:pPr>
              <w:rPr>
                <w:rFonts w:ascii="Cambria" w:eastAsia="Cambria" w:hAnsi="Cambria" w:cs="Cambria"/>
                <w:highlight w:val="white"/>
              </w:rPr>
            </w:pPr>
          </w:p>
          <w:tbl>
            <w:tblPr>
              <w:tblStyle w:val="a6"/>
              <w:tblW w:w="9072" w:type="dxa"/>
              <w:tblInd w:w="28" w:type="dxa"/>
              <w:tblBorders>
                <w:top w:val="single" w:sz="4" w:space="0" w:color="BFBFBF"/>
                <w:left w:val="nil"/>
                <w:bottom w:val="nil"/>
                <w:right w:val="nil"/>
                <w:insideH w:val="single" w:sz="4" w:space="0" w:color="BFBFBF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01"/>
              <w:gridCol w:w="783"/>
              <w:gridCol w:w="4088"/>
            </w:tblGrid>
            <w:tr w:rsidR="009839BA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3A2578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  <w:r>
                    <w:rPr>
                      <w:rFonts w:ascii="Cambria" w:eastAsia="Cambria" w:hAnsi="Cambria" w:cs="Cambria"/>
                      <w:highlight w:val="white"/>
                    </w:rPr>
                    <w:t>-</w:t>
                  </w:r>
                  <w:r>
                    <w:rPr>
                      <w:rFonts w:ascii="Cambria" w:eastAsia="Cambria" w:hAnsi="Cambria" w:cs="Cambria"/>
                      <w:highlight w:val="white"/>
                    </w:rPr>
                    <w:t>-----------------------------------------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9839BA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3A2578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  <w:r>
                    <w:rPr>
                      <w:rFonts w:ascii="Cambria" w:eastAsia="Cambria" w:hAnsi="Cambria" w:cs="Cambria"/>
                      <w:highlight w:val="white"/>
                    </w:rPr>
                    <w:t>-----------------------------------------</w:t>
                  </w:r>
                </w:p>
              </w:tc>
            </w:tr>
            <w:tr w:rsidR="009839BA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3A2578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  <w:r>
                    <w:rPr>
                      <w:rFonts w:ascii="Cambria" w:eastAsia="Cambria" w:hAnsi="Cambria" w:cs="Cambria"/>
                      <w:highlight w:val="white"/>
                    </w:rPr>
                    <w:t>Assinatura do(a) estudante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9839BA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839BA" w:rsidRDefault="003A2578">
                  <w:pPr>
                    <w:ind w:hanging="2"/>
                    <w:rPr>
                      <w:rFonts w:ascii="Cambria" w:eastAsia="Cambria" w:hAnsi="Cambria" w:cs="Cambria"/>
                      <w:highlight w:val="white"/>
                    </w:rPr>
                  </w:pPr>
                  <w:r>
                    <w:rPr>
                      <w:rFonts w:ascii="Cambria" w:eastAsia="Cambria" w:hAnsi="Cambria" w:cs="Cambria"/>
                      <w:highlight w:val="white"/>
                    </w:rPr>
                    <w:t>Assinatura do(a) Orientador(a)</w:t>
                  </w:r>
                </w:p>
              </w:tc>
            </w:tr>
          </w:tbl>
          <w:p w:rsidR="009839BA" w:rsidRDefault="009839BA">
            <w:pPr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</w:tbl>
    <w:p w:rsidR="009839BA" w:rsidRDefault="009839BA" w:rsidP="009C4B79">
      <w:pPr>
        <w:spacing w:line="360" w:lineRule="auto"/>
        <w:rPr>
          <w:rFonts w:ascii="Cambria" w:eastAsia="Cambria" w:hAnsi="Cambria" w:cs="Cambria"/>
          <w:highlight w:val="white"/>
        </w:rPr>
      </w:pPr>
    </w:p>
    <w:sectPr w:rsidR="009839BA">
      <w:headerReference w:type="first" r:id="rId9"/>
      <w:pgSz w:w="11906" w:h="16838"/>
      <w:pgMar w:top="1417" w:right="1701" w:bottom="1417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78" w:rsidRDefault="003A2578">
      <w:pPr>
        <w:spacing w:line="240" w:lineRule="auto"/>
      </w:pPr>
      <w:r>
        <w:separator/>
      </w:r>
    </w:p>
  </w:endnote>
  <w:endnote w:type="continuationSeparator" w:id="0">
    <w:p w:rsidR="003A2578" w:rsidRDefault="003A2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ad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78" w:rsidRDefault="003A2578">
      <w:pPr>
        <w:spacing w:line="240" w:lineRule="auto"/>
      </w:pPr>
      <w:r>
        <w:separator/>
      </w:r>
    </w:p>
  </w:footnote>
  <w:footnote w:type="continuationSeparator" w:id="0">
    <w:p w:rsidR="003A2578" w:rsidRDefault="003A2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A" w:rsidRDefault="009839BA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9839BA">
      <w:trPr>
        <w:trHeight w:val="1936"/>
      </w:trPr>
      <w:tc>
        <w:tcPr>
          <w:tcW w:w="1686" w:type="dxa"/>
        </w:tcPr>
        <w:p w:rsidR="009839BA" w:rsidRDefault="003A25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6534" cy="1186277"/>
                <wp:effectExtent l="0" t="0" r="0" b="0"/>
                <wp:docPr id="10" name="image2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:rsidR="009839BA" w:rsidRDefault="009839BA">
          <w:pPr>
            <w:jc w:val="center"/>
            <w:rPr>
              <w:rFonts w:ascii="Caladea" w:eastAsia="Caladea" w:hAnsi="Caladea" w:cs="Caladea"/>
              <w:b/>
              <w:color w:val="7F7F7F"/>
              <w:sz w:val="32"/>
              <w:szCs w:val="32"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3A2578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839BA" w:rsidRDefault="003A2578">
          <w:proofErr w:type="spellStart"/>
          <w:r>
            <w:rPr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color w:val="000000"/>
              <w:sz w:val="20"/>
              <w:szCs w:val="20"/>
            </w:rPr>
            <w:t xml:space="preserve"> de Extensão e Cultura</w:t>
          </w:r>
        </w:p>
      </w:tc>
    </w:tr>
  </w:tbl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553"/>
    <w:multiLevelType w:val="multilevel"/>
    <w:tmpl w:val="9CDADDE2"/>
    <w:lvl w:ilvl="0">
      <w:start w:val="1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180" w:hanging="4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color w:val="000000"/>
      </w:rPr>
    </w:lvl>
  </w:abstractNum>
  <w:abstractNum w:abstractNumId="1" w15:restartNumberingAfterBreak="0">
    <w:nsid w:val="2C625E53"/>
    <w:multiLevelType w:val="multilevel"/>
    <w:tmpl w:val="E37EE9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91"/>
    <w:multiLevelType w:val="multilevel"/>
    <w:tmpl w:val="9B78D8D4"/>
    <w:lvl w:ilvl="0">
      <w:start w:val="1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316690B"/>
    <w:multiLevelType w:val="multilevel"/>
    <w:tmpl w:val="11B4AC4E"/>
    <w:lvl w:ilvl="0">
      <w:start w:val="1"/>
      <w:numFmt w:val="lowerLetter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9552A"/>
    <w:multiLevelType w:val="multilevel"/>
    <w:tmpl w:val="FE8243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4CC5"/>
    <w:multiLevelType w:val="multilevel"/>
    <w:tmpl w:val="CF4631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C80"/>
    <w:multiLevelType w:val="multilevel"/>
    <w:tmpl w:val="7C261A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14A"/>
    <w:multiLevelType w:val="multilevel"/>
    <w:tmpl w:val="49FE2AF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AF8"/>
    <w:multiLevelType w:val="multilevel"/>
    <w:tmpl w:val="053AD8F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176A77"/>
    <w:rsid w:val="00196AD2"/>
    <w:rsid w:val="00397252"/>
    <w:rsid w:val="003A2578"/>
    <w:rsid w:val="00427C91"/>
    <w:rsid w:val="005C4764"/>
    <w:rsid w:val="009839BA"/>
    <w:rsid w:val="009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C53"/>
  <w15:docId w15:val="{0D192090-7B35-44E7-BF87-ADFA91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table" w:customStyle="1" w:styleId="TableNormal0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0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HyUCC+ZTaV9kduZgc9P93HJA==">CgMxLjAyCWguMzBqMHpsbDIJaC4xZm9iOXRlMg5oLmx6aGQ1dzFlZDRnMTIJaC4zem55c2g3MgloLjJldDkycDAyCGgudHlqY3d0MgloLjNkeTZ2a20yCWguMXQzaDVzZjIJaC4xN2RwOHZ1MghoLmdqZGd4czIJaC4zcmRjcmpuMgloLjI2aW4xcmcyCGgubG54Yno5MgloLjM1bmt1bjIyCWguMWtzdjR1djIJaC40NHNpbmlvMghoLnozMzd5YTgAciExTnhzajh2N1J0NGI3NERQUHlsWUpaU0xJLTNFQTJ2e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D0D14C-2B12-4C7D-B980-B4B35293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Anderson Breno Souza</cp:lastModifiedBy>
  <cp:revision>2</cp:revision>
  <dcterms:created xsi:type="dcterms:W3CDTF">2025-02-10T21:59:00Z</dcterms:created>
  <dcterms:modified xsi:type="dcterms:W3CDTF">2025-02-10T21:59:00Z</dcterms:modified>
</cp:coreProperties>
</file>